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365D" w14:textId="022A45E0" w:rsidR="00966EC6" w:rsidRPr="009A6F08" w:rsidRDefault="00966EC6" w:rsidP="00436678">
      <w:pPr>
        <w:jc w:val="left"/>
        <w:rPr>
          <w:rFonts w:cs="Arial"/>
          <w:bCs/>
          <w:szCs w:val="24"/>
          <w:lang w:val="en-GB"/>
        </w:rPr>
      </w:pPr>
      <w:r w:rsidRPr="009A6F08">
        <w:rPr>
          <w:rFonts w:cs="Arial"/>
          <w:bCs/>
          <w:i/>
          <w:iCs/>
          <w:szCs w:val="24"/>
          <w:lang w:val="en-GB"/>
        </w:rPr>
        <w:t>Economic History Review</w:t>
      </w:r>
      <w:r w:rsidRPr="009A6F08">
        <w:rPr>
          <w:rFonts w:cs="Arial"/>
          <w:bCs/>
          <w:szCs w:val="24"/>
          <w:lang w:val="en-GB"/>
        </w:rPr>
        <w:t xml:space="preserve">, </w:t>
      </w:r>
      <w:r w:rsidR="00AC7927" w:rsidRPr="009A6F08">
        <w:rPr>
          <w:rFonts w:cs="Arial"/>
          <w:bCs/>
          <w:szCs w:val="24"/>
          <w:lang w:val="en-GB"/>
        </w:rPr>
        <w:t>72 (3) (</w:t>
      </w:r>
      <w:r w:rsidR="00644946">
        <w:rPr>
          <w:rFonts w:cs="Arial"/>
          <w:bCs/>
          <w:szCs w:val="24"/>
          <w:lang w:val="en-GB"/>
        </w:rPr>
        <w:t>201</w:t>
      </w:r>
      <w:r w:rsidR="00AC7927" w:rsidRPr="009A6F08">
        <w:rPr>
          <w:rFonts w:cs="Arial"/>
          <w:bCs/>
          <w:szCs w:val="24"/>
          <w:lang w:val="en-GB"/>
        </w:rPr>
        <w:t>9), pp. 953-978</w:t>
      </w:r>
    </w:p>
    <w:p w14:paraId="7AA36C1E" w14:textId="77777777" w:rsidR="00966EC6" w:rsidRPr="009A6F08" w:rsidRDefault="00966EC6" w:rsidP="00436678">
      <w:pPr>
        <w:jc w:val="left"/>
        <w:rPr>
          <w:rFonts w:cs="Arial"/>
          <w:b/>
          <w:sz w:val="36"/>
          <w:szCs w:val="36"/>
          <w:lang w:val="en-GB"/>
        </w:rPr>
      </w:pPr>
    </w:p>
    <w:p w14:paraId="6A77AF09" w14:textId="77777777" w:rsidR="00E843D8" w:rsidRPr="009A6F08" w:rsidRDefault="00E843D8" w:rsidP="00436678">
      <w:pPr>
        <w:jc w:val="left"/>
        <w:rPr>
          <w:rFonts w:cs="Arial"/>
          <w:b/>
          <w:sz w:val="36"/>
          <w:szCs w:val="36"/>
          <w:lang w:val="en-GB"/>
        </w:rPr>
      </w:pPr>
      <w:r w:rsidRPr="009A6F08">
        <w:rPr>
          <w:rFonts w:cs="Arial"/>
          <w:b/>
          <w:sz w:val="36"/>
          <w:szCs w:val="36"/>
          <w:lang w:val="en-GB"/>
        </w:rPr>
        <w:t xml:space="preserve">Why did the industrial diet triumph? </w:t>
      </w:r>
    </w:p>
    <w:p w14:paraId="0C82DB18" w14:textId="77777777" w:rsidR="00E843D8" w:rsidRPr="009A6F08" w:rsidRDefault="00E843D8" w:rsidP="00436678">
      <w:pPr>
        <w:jc w:val="left"/>
        <w:rPr>
          <w:rFonts w:cs="Arial"/>
          <w:b/>
          <w:sz w:val="36"/>
          <w:szCs w:val="36"/>
          <w:lang w:val="en-GB"/>
        </w:rPr>
      </w:pPr>
      <w:r w:rsidRPr="009A6F08">
        <w:rPr>
          <w:rFonts w:cs="Arial"/>
          <w:b/>
          <w:sz w:val="36"/>
          <w:szCs w:val="36"/>
          <w:lang w:val="en-GB"/>
        </w:rPr>
        <w:t xml:space="preserve">The massification of dairy consumption in Spain, </w:t>
      </w:r>
    </w:p>
    <w:p w14:paraId="131BCDA3" w14:textId="77777777" w:rsidR="00BC5AC6" w:rsidRPr="009A6F08" w:rsidRDefault="00E843D8" w:rsidP="00436678">
      <w:pPr>
        <w:jc w:val="left"/>
        <w:rPr>
          <w:rFonts w:cs="Arial"/>
          <w:b/>
          <w:sz w:val="36"/>
          <w:szCs w:val="36"/>
          <w:lang w:val="en-GB"/>
        </w:rPr>
      </w:pPr>
      <w:r w:rsidRPr="009A6F08">
        <w:rPr>
          <w:rFonts w:cs="Arial"/>
          <w:b/>
          <w:sz w:val="36"/>
          <w:szCs w:val="36"/>
          <w:lang w:val="en-GB"/>
        </w:rPr>
        <w:t>1965-1990</w:t>
      </w:r>
      <w:r w:rsidR="00BC5AC6" w:rsidRPr="009A6F08">
        <w:rPr>
          <w:rStyle w:val="Refdenotaalpie"/>
          <w:rFonts w:cs="Arial"/>
          <w:b/>
          <w:sz w:val="36"/>
          <w:szCs w:val="36"/>
          <w:lang w:val="en-GB"/>
        </w:rPr>
        <w:footnoteReference w:customMarkFollows="1" w:id="2"/>
        <w:t>*</w:t>
      </w:r>
    </w:p>
    <w:p w14:paraId="2CAC963F" w14:textId="77777777" w:rsidR="009351D4" w:rsidRPr="009A6F08" w:rsidRDefault="009351D4" w:rsidP="0024237F">
      <w:pPr>
        <w:ind w:left="709"/>
        <w:jc w:val="right"/>
        <w:rPr>
          <w:rFonts w:cs="Arial"/>
          <w:b/>
          <w:sz w:val="32"/>
          <w:lang w:val="en-GB"/>
        </w:rPr>
      </w:pPr>
    </w:p>
    <w:p w14:paraId="740CB2EB" w14:textId="77777777" w:rsidR="009351D4" w:rsidRPr="009A6F08" w:rsidRDefault="00436678" w:rsidP="00436678">
      <w:pPr>
        <w:rPr>
          <w:rFonts w:cs="Arial"/>
          <w:sz w:val="32"/>
          <w:lang w:val="en-GB"/>
        </w:rPr>
      </w:pPr>
      <w:r w:rsidRPr="009A6F08">
        <w:rPr>
          <w:rFonts w:cs="Arial"/>
          <w:sz w:val="32"/>
          <w:lang w:val="en-GB"/>
        </w:rPr>
        <w:t>Fernando Collantes</w:t>
      </w:r>
      <w:r w:rsidR="009351D4" w:rsidRPr="009A6F08">
        <w:rPr>
          <w:rStyle w:val="Refdenotaalpie"/>
          <w:rFonts w:cs="Arial"/>
          <w:i/>
          <w:sz w:val="32"/>
          <w:lang w:val="en-GB"/>
        </w:rPr>
        <w:footnoteReference w:customMarkFollows="1" w:id="3"/>
        <w:t>**</w:t>
      </w:r>
    </w:p>
    <w:p w14:paraId="2638DEE1" w14:textId="77777777" w:rsidR="001B0291" w:rsidRPr="009A6F08" w:rsidRDefault="001B0291" w:rsidP="0024237F">
      <w:pPr>
        <w:jc w:val="right"/>
        <w:rPr>
          <w:rFonts w:cs="Arial"/>
          <w:lang w:val="en-GB"/>
        </w:rPr>
      </w:pPr>
    </w:p>
    <w:p w14:paraId="32411FF4" w14:textId="77777777" w:rsidR="000C288E" w:rsidRPr="009A6F08" w:rsidRDefault="000C288E" w:rsidP="000C288E">
      <w:pPr>
        <w:spacing w:line="240" w:lineRule="auto"/>
        <w:ind w:left="709" w:right="707"/>
        <w:rPr>
          <w:rFonts w:cs="Arial"/>
          <w:szCs w:val="24"/>
          <w:lang w:val="en-GB"/>
        </w:rPr>
      </w:pPr>
    </w:p>
    <w:p w14:paraId="3522D3DF" w14:textId="5A816D0B" w:rsidR="000C288E" w:rsidRPr="009A6F08" w:rsidRDefault="000C288E" w:rsidP="000C288E">
      <w:pPr>
        <w:spacing w:line="240" w:lineRule="auto"/>
        <w:ind w:left="709" w:right="707"/>
        <w:rPr>
          <w:rFonts w:cs="Arial"/>
          <w:i/>
          <w:iCs/>
          <w:szCs w:val="24"/>
          <w:lang w:val="en-GB"/>
        </w:rPr>
      </w:pPr>
      <w:r w:rsidRPr="009A6F08">
        <w:rPr>
          <w:rFonts w:cs="Arial"/>
          <w:i/>
          <w:iCs/>
          <w:szCs w:val="24"/>
          <w:lang w:val="en-GB"/>
        </w:rPr>
        <w:t xml:space="preserve">The rise of a mass, agri-industrial diet after the Second World War was crucial for the culmination of the nutritional transition that Western countries had been involved in since the second half of the nineteenth century. </w:t>
      </w:r>
      <w:proofErr w:type="gramStart"/>
      <w:r w:rsidRPr="009A6F08">
        <w:rPr>
          <w:rFonts w:cs="Arial"/>
          <w:i/>
          <w:iCs/>
          <w:szCs w:val="24"/>
          <w:lang w:val="en-GB"/>
        </w:rPr>
        <w:t>But,</w:t>
      </w:r>
      <w:proofErr w:type="gramEnd"/>
      <w:r w:rsidRPr="009A6F08">
        <w:rPr>
          <w:rFonts w:cs="Arial"/>
          <w:i/>
          <w:iCs/>
          <w:szCs w:val="24"/>
          <w:lang w:val="en-GB"/>
        </w:rPr>
        <w:t xml:space="preserve"> why did the industrial diet triumph? This article takes the massification of dairy consumption in Spain 1965-1990 as a study case. Using a newly constructed database and qualitative material within an evolutionary socioeconomics framework, the article reaches two conclusions. First, the massification of dairy consumption was linked to most households’ transition to a softer budget constraint, which was driven mainly by increasing household incomes (and only secondarily by the consumer price reductions caused by food industrialization). </w:t>
      </w:r>
      <w:proofErr w:type="gramStart"/>
      <w:r w:rsidRPr="009A6F08">
        <w:rPr>
          <w:rFonts w:cs="Arial"/>
          <w:i/>
          <w:iCs/>
          <w:szCs w:val="24"/>
          <w:lang w:val="en-GB"/>
        </w:rPr>
        <w:t>And,</w:t>
      </w:r>
      <w:proofErr w:type="gramEnd"/>
      <w:r w:rsidRPr="009A6F08">
        <w:rPr>
          <w:rFonts w:cs="Arial"/>
          <w:i/>
          <w:iCs/>
          <w:szCs w:val="24"/>
          <w:lang w:val="en-GB"/>
        </w:rPr>
        <w:t xml:space="preserve"> second, the reason why the softening of the budget constraint played such a major role was that it was joined by a substantial increase in consumer trust in dairy products, which in turn resulted from industrial standardization. The article is in line with recent work that underlines the discontinuity in diet change brought about by food industrialization, but questions that the latter’s major contribution was of a quantitative, price-related nature and suggests that more attention should be paid to the qualitative, preferences-related dimension.</w:t>
      </w:r>
    </w:p>
    <w:p w14:paraId="68EF41EF" w14:textId="77777777" w:rsidR="00C60CA9" w:rsidRPr="009A6F08" w:rsidRDefault="00C60CA9" w:rsidP="00C60CA9">
      <w:pPr>
        <w:spacing w:line="480" w:lineRule="auto"/>
        <w:rPr>
          <w:rFonts w:cs="Arial"/>
          <w:b/>
          <w:lang w:val="en-GB"/>
        </w:rPr>
      </w:pPr>
      <w:r w:rsidRPr="009A6F08">
        <w:rPr>
          <w:rFonts w:cs="Arial"/>
          <w:b/>
          <w:lang w:val="en-GB"/>
        </w:rPr>
        <w:lastRenderedPageBreak/>
        <w:t>I</w:t>
      </w:r>
    </w:p>
    <w:p w14:paraId="3DC16662" w14:textId="77777777" w:rsidR="00C60CA9" w:rsidRPr="009A6F08" w:rsidRDefault="00C60CA9" w:rsidP="00C60CA9">
      <w:pPr>
        <w:spacing w:line="480" w:lineRule="auto"/>
        <w:rPr>
          <w:rFonts w:cs="Arial"/>
          <w:b/>
          <w:lang w:val="en-GB"/>
        </w:rPr>
      </w:pPr>
    </w:p>
    <w:p w14:paraId="3F81A168" w14:textId="77777777" w:rsidR="00C60CA9" w:rsidRPr="009A6F08" w:rsidRDefault="00C60CA9" w:rsidP="00C60CA9">
      <w:pPr>
        <w:spacing w:line="480" w:lineRule="auto"/>
        <w:ind w:firstLine="709"/>
        <w:rPr>
          <w:rFonts w:cs="Arial"/>
          <w:lang w:val="en-GB"/>
        </w:rPr>
      </w:pPr>
      <w:r w:rsidRPr="009A6F08">
        <w:rPr>
          <w:rFonts w:cs="Arial"/>
          <w:lang w:val="en-GB"/>
        </w:rPr>
        <w:t xml:space="preserve">The great transformation undergone by the Western diet in the nineteenth and twentieth centuries was originally conceptualized as a ‘nutritional transition’. Between around 1850 and 1970, Western populations would have gradually abandoned their traditional, precarious diet. The modern diet would feature not only higher food intakes but also a restructuring of the food mix – crop-based foods, </w:t>
      </w:r>
      <w:proofErr w:type="gramStart"/>
      <w:r w:rsidRPr="009A6F08">
        <w:rPr>
          <w:rFonts w:cs="Arial"/>
          <w:lang w:val="en-GB"/>
        </w:rPr>
        <w:t>cereals</w:t>
      </w:r>
      <w:proofErr w:type="gramEnd"/>
      <w:r w:rsidRPr="009A6F08">
        <w:rPr>
          <w:rFonts w:cs="Arial"/>
          <w:lang w:val="en-GB"/>
        </w:rPr>
        <w:t xml:space="preserve"> and other basic grains in particular, would not play as crucial a role as in the past, while livestock-based foods such as meat, milk and eggs would become increasingly important. This perspective had been anticipated by historian Maurice Aymard in the 1970s and became very influential after it was more systematically elaborated by nutritionist Barry Popkin and geographer David Grigg in the 1990s.</w:t>
      </w:r>
      <w:r w:rsidRPr="009A6F08">
        <w:rPr>
          <w:rStyle w:val="Refdenotaalpie"/>
          <w:rFonts w:cs="Arial"/>
          <w:lang w:val="en-GB"/>
        </w:rPr>
        <w:footnoteReference w:id="4"/>
      </w:r>
      <w:r w:rsidRPr="009A6F08">
        <w:rPr>
          <w:rFonts w:cs="Arial"/>
          <w:lang w:val="en-GB"/>
        </w:rPr>
        <w:t xml:space="preserve"> Popkin and Grigg not only described what the nutritional transition was, but also explored its determinants. Their view of causation was primarily macroeconomic, linking the nutritional transition to modern economic growth. In Grigg’s words, the nutritional transition would have been ‘prompted by the long term rise in real incomes that followed industrialization’.</w:t>
      </w:r>
      <w:r w:rsidRPr="009A6F08">
        <w:rPr>
          <w:rStyle w:val="Refdenotaalpie"/>
          <w:rFonts w:cs="Arial"/>
          <w:lang w:val="en-GB"/>
        </w:rPr>
        <w:footnoteReference w:id="5"/>
      </w:r>
    </w:p>
    <w:p w14:paraId="6B19EA85" w14:textId="77777777" w:rsidR="00C60CA9" w:rsidRPr="009A6F08" w:rsidRDefault="00C60CA9" w:rsidP="00C60CA9">
      <w:pPr>
        <w:spacing w:line="480" w:lineRule="auto"/>
        <w:ind w:firstLine="709"/>
        <w:rPr>
          <w:rFonts w:cs="Arial"/>
          <w:lang w:val="en-GB"/>
        </w:rPr>
      </w:pPr>
      <w:r w:rsidRPr="009A6F08">
        <w:rPr>
          <w:rFonts w:cs="Arial"/>
          <w:lang w:val="en-GB"/>
        </w:rPr>
        <w:t xml:space="preserve">By the time the Popkin-Grigg view became influential, however, a more complex view of diet change was beginning to take shape through the works of the Montpellier school of agri-food economics and the sociological theory of food regimes. In terms of description, the new view did not identify one single, long-term nutritional transition, but rather a succession of two distinct consumption </w:t>
      </w:r>
      <w:r w:rsidRPr="009A6F08">
        <w:rPr>
          <w:rFonts w:cs="Arial"/>
          <w:lang w:val="en-GB"/>
        </w:rPr>
        <w:lastRenderedPageBreak/>
        <w:t xml:space="preserve">regimes – before and after food production became a large-scale, industrial pursuit. For instance, according to the leader of the Montpellier school, Louis Malassis, diet change between around 1850 and 1950 would have been influenced by the industrialization of food </w:t>
      </w:r>
      <w:proofErr w:type="gramStart"/>
      <w:r w:rsidRPr="009A6F08">
        <w:rPr>
          <w:rFonts w:cs="Arial"/>
          <w:lang w:val="en-GB"/>
        </w:rPr>
        <w:t>production, but</w:t>
      </w:r>
      <w:proofErr w:type="gramEnd"/>
      <w:r w:rsidRPr="009A6F08">
        <w:rPr>
          <w:rFonts w:cs="Arial"/>
          <w:lang w:val="en-GB"/>
        </w:rPr>
        <w:t xml:space="preserve"> would have taken place mostly on the basis of non-processed foods. It would have been between 1950 and 1980 when a ‘mass, agri-industrial diet’ would have triumphed.</w:t>
      </w:r>
      <w:r w:rsidRPr="009A6F08">
        <w:rPr>
          <w:rStyle w:val="Refdenotaalpie"/>
          <w:rFonts w:cs="Arial"/>
          <w:lang w:val="en-GB"/>
        </w:rPr>
        <w:footnoteReference w:id="6"/>
      </w:r>
    </w:p>
    <w:p w14:paraId="5C46E50E" w14:textId="77777777" w:rsidR="00C60CA9" w:rsidRPr="009A6F08" w:rsidRDefault="00C60CA9" w:rsidP="00C60CA9">
      <w:pPr>
        <w:spacing w:line="480" w:lineRule="auto"/>
        <w:ind w:firstLine="709"/>
        <w:rPr>
          <w:rFonts w:cs="Arial"/>
          <w:lang w:val="en-GB"/>
        </w:rPr>
      </w:pPr>
      <w:r w:rsidRPr="009A6F08">
        <w:rPr>
          <w:rFonts w:cs="Arial"/>
          <w:lang w:val="en-GB"/>
        </w:rPr>
        <w:t>In terms of causation, the new view downplayed macroeconomic variables and highlighted the major role played by mesoeconomic transformations in the food production chain instead. Diet change after the Second World War</w:t>
      </w:r>
      <w:proofErr w:type="gramStart"/>
      <w:r w:rsidRPr="009A6F08">
        <w:rPr>
          <w:rFonts w:cs="Arial"/>
          <w:lang w:val="en-GB"/>
        </w:rPr>
        <w:t>, in particular, was</w:t>
      </w:r>
      <w:proofErr w:type="gramEnd"/>
      <w:r w:rsidRPr="009A6F08">
        <w:rPr>
          <w:rFonts w:cs="Arial"/>
          <w:lang w:val="en-GB"/>
        </w:rPr>
        <w:t xml:space="preserve"> seen as a direct outcome of the making of an industry-dominated food system. Food industrialization would have generated major productivity gains that would have been largely transferred to consumers through diminished food prices, which in turn would have made meat, milk and (more generally) processed foods more easily affordable for all social strata. For sociologists working on food regime theory, in particular, this would be an era characterized by a ‘cheap food economy’, ‘premised on generalized […] standardization of </w:t>
      </w:r>
      <w:proofErr w:type="gramStart"/>
      <w:r w:rsidRPr="009A6F08">
        <w:rPr>
          <w:rFonts w:cs="Arial"/>
          <w:lang w:val="en-GB"/>
        </w:rPr>
        <w:t>diets’</w:t>
      </w:r>
      <w:proofErr w:type="gramEnd"/>
      <w:r w:rsidRPr="009A6F08">
        <w:rPr>
          <w:rFonts w:cs="Arial"/>
          <w:lang w:val="en-GB"/>
        </w:rPr>
        <w:t>.</w:t>
      </w:r>
      <w:r w:rsidRPr="009A6F08">
        <w:rPr>
          <w:rStyle w:val="Refdenotaalpie"/>
          <w:rFonts w:cs="Arial"/>
          <w:lang w:val="en-GB"/>
        </w:rPr>
        <w:footnoteReference w:id="7"/>
      </w:r>
    </w:p>
    <w:p w14:paraId="26CE23ED" w14:textId="77777777" w:rsidR="00C60CA9" w:rsidRPr="009A6F08" w:rsidRDefault="00C60CA9" w:rsidP="00C60CA9">
      <w:pPr>
        <w:spacing w:line="480" w:lineRule="auto"/>
        <w:ind w:firstLine="709"/>
        <w:rPr>
          <w:rFonts w:cs="Arial"/>
          <w:lang w:val="en-GB"/>
        </w:rPr>
      </w:pPr>
      <w:r w:rsidRPr="009A6F08">
        <w:rPr>
          <w:rFonts w:cs="Arial"/>
          <w:lang w:val="en-GB"/>
        </w:rPr>
        <w:t xml:space="preserve">This new view is the one that has eventually become most popular among food historians. As an illustration, the influential interpretation by Peter Scholliers stresses that after 1945 food-related changes took place on a much larger scale and at a much higher speed that in any previous periods. There would have been an acceleration of technological innovation and organizational change in all nodes of the food chain (farming, processing, transportation, retailing), as well as </w:t>
      </w:r>
      <w:r w:rsidRPr="009A6F08">
        <w:rPr>
          <w:rFonts w:cs="Arial"/>
          <w:lang w:val="en-GB"/>
        </w:rPr>
        <w:lastRenderedPageBreak/>
        <w:t>an unprecedentedly rapid transformation in diets.</w:t>
      </w:r>
      <w:r w:rsidRPr="009A6F08">
        <w:rPr>
          <w:rStyle w:val="Refdenotaalpie"/>
          <w:rFonts w:cs="Arial"/>
          <w:lang w:val="en-GB"/>
        </w:rPr>
        <w:footnoteReference w:id="8"/>
      </w:r>
      <w:r w:rsidRPr="009A6F08">
        <w:rPr>
          <w:rFonts w:cs="Arial"/>
          <w:lang w:val="en-GB"/>
        </w:rPr>
        <w:t xml:space="preserve"> In Scholliers’ words, ‘the gradual but definite fall of real food prices (…) co-created and was even a condition of the so-called era of mass consumption in many countries after 1950’.</w:t>
      </w:r>
      <w:r w:rsidRPr="009A6F08">
        <w:rPr>
          <w:rStyle w:val="Refdenotaalpie"/>
          <w:rFonts w:cs="Arial"/>
          <w:lang w:val="en-GB"/>
        </w:rPr>
        <w:footnoteReference w:id="9"/>
      </w:r>
      <w:r w:rsidRPr="009A6F08">
        <w:rPr>
          <w:rFonts w:cs="Arial"/>
          <w:lang w:val="en-GB"/>
        </w:rPr>
        <w:t xml:space="preserve"> Even Grigg in later works eventually incorporated the ‘long-term decline in the real price of food’ to his account of diet change in the modern West.</w:t>
      </w:r>
      <w:r w:rsidRPr="009A6F08">
        <w:rPr>
          <w:rStyle w:val="Refdenotaalpie"/>
          <w:rFonts w:cs="Arial"/>
          <w:lang w:val="en-GB"/>
        </w:rPr>
        <w:footnoteReference w:id="10"/>
      </w:r>
    </w:p>
    <w:p w14:paraId="4D450CC5" w14:textId="77777777" w:rsidR="00C60CA9" w:rsidRPr="009A6F08" w:rsidRDefault="00C60CA9" w:rsidP="00C60CA9">
      <w:pPr>
        <w:spacing w:line="480" w:lineRule="auto"/>
        <w:ind w:firstLine="709"/>
        <w:rPr>
          <w:rFonts w:cs="Arial"/>
          <w:lang w:val="en-GB"/>
        </w:rPr>
      </w:pPr>
      <w:r w:rsidRPr="009A6F08">
        <w:rPr>
          <w:rFonts w:cs="Arial"/>
          <w:lang w:val="en-GB"/>
        </w:rPr>
        <w:t>There are, however, at least two weaknesses in this conventional wisdom. The first of them is of an empirical nature. Both the older and the newer views of diet change have been based mostly upon impressionistic evidence coming from secondary sources. We lack detailed studies of the way in which movements in consumer income and food prices softened the budget constraint that households were facing by the time they were considering the possibility of transitioning towards the new diet. In the absence of such studies, it is difficult to conclude that the mesoeconomic causes of diet change (such as the industrialization of food production) were more powerful than the macroeconomic determinants (such as economic growth) –or the opposite.</w:t>
      </w:r>
    </w:p>
    <w:p w14:paraId="6D07BAF4" w14:textId="77777777" w:rsidR="00C60CA9" w:rsidRPr="009A6F08" w:rsidRDefault="00C60CA9" w:rsidP="00C60CA9">
      <w:pPr>
        <w:spacing w:line="480" w:lineRule="auto"/>
        <w:ind w:firstLine="709"/>
        <w:rPr>
          <w:rFonts w:cs="Arial"/>
          <w:lang w:val="en-GB"/>
        </w:rPr>
      </w:pPr>
      <w:r w:rsidRPr="009A6F08">
        <w:rPr>
          <w:rFonts w:cs="Arial"/>
          <w:lang w:val="en-GB"/>
        </w:rPr>
        <w:t xml:space="preserve">A second weakness is of a conceptual kind. The debate implicitly revolves around the budget constraint that households were (or were not) </w:t>
      </w:r>
      <w:proofErr w:type="gramStart"/>
      <w:r w:rsidRPr="009A6F08">
        <w:rPr>
          <w:rFonts w:cs="Arial"/>
          <w:lang w:val="en-GB"/>
        </w:rPr>
        <w:t>facing, but</w:t>
      </w:r>
      <w:proofErr w:type="gramEnd"/>
      <w:r w:rsidRPr="009A6F08">
        <w:rPr>
          <w:rFonts w:cs="Arial"/>
          <w:lang w:val="en-GB"/>
        </w:rPr>
        <w:t xml:space="preserve"> leaves little room for consumer agency. The debate revolves around the economic possibilities of </w:t>
      </w:r>
      <w:proofErr w:type="gramStart"/>
      <w:r w:rsidRPr="009A6F08">
        <w:rPr>
          <w:rFonts w:cs="Arial"/>
          <w:lang w:val="en-GB"/>
        </w:rPr>
        <w:t>consumers, but</w:t>
      </w:r>
      <w:proofErr w:type="gramEnd"/>
      <w:r w:rsidRPr="009A6F08">
        <w:rPr>
          <w:rFonts w:cs="Arial"/>
          <w:lang w:val="en-GB"/>
        </w:rPr>
        <w:t xml:space="preserve"> does not consider whether for a given budget constraint consumers were (or were not) predisposed towards consuming the carrier foods of the nutritional transition. The issue has been commonly </w:t>
      </w:r>
      <w:r w:rsidRPr="009A6F08">
        <w:rPr>
          <w:rFonts w:cs="Arial"/>
          <w:lang w:val="en-GB"/>
        </w:rPr>
        <w:lastRenderedPageBreak/>
        <w:t>resolved by assuming in a generic way that the emergence of modern nutritional science, backed and manipulated by States and food companies, would have oriented consumers in directions that favoured the progress of the nutritional transition and the industrial diet.</w:t>
      </w:r>
      <w:r w:rsidRPr="009A6F08">
        <w:rPr>
          <w:rStyle w:val="Refdenotaalpie"/>
          <w:rFonts w:cs="Arial"/>
          <w:lang w:val="en-GB"/>
        </w:rPr>
        <w:footnoteReference w:id="11"/>
      </w:r>
      <w:r w:rsidRPr="009A6F08">
        <w:rPr>
          <w:rFonts w:cs="Arial"/>
          <w:lang w:val="en-GB"/>
        </w:rPr>
        <w:t xml:space="preserve"> Recent works on the history of food quality, however, give us a less linear view of the way in which consumers constructed their opinions about food. The technical biographies of specific foods, such as the ones produced by historian Alessandro Stanziani and geographer Peter Atkins, reveal the existence of a recursive interaction between producers, consumers, technicians and the State in order to delimitate the physical and chemical properties that a given food item should possess in order to legitimately claim a given food name.</w:t>
      </w:r>
      <w:r w:rsidRPr="009A6F08">
        <w:rPr>
          <w:rStyle w:val="Refdenotaalpie"/>
          <w:rFonts w:cs="Arial"/>
          <w:lang w:val="en-GB"/>
        </w:rPr>
        <w:footnoteReference w:id="12"/>
      </w:r>
      <w:r w:rsidRPr="009A6F08">
        <w:rPr>
          <w:rFonts w:cs="Arial"/>
          <w:lang w:val="en-GB"/>
        </w:rPr>
        <w:t xml:space="preserve"> An important topic in this literature is the way in which the introduction of industrial methods of food processing created a new context in which social interaction aimed at setting food standards would become both more conflictive and more productive. The issue of the qualitative differences between processed foods and natural foods, or between different types of processed foods, has however received almost no attention in accounts of the nutritional transition and the triumph of the industrial diet.</w:t>
      </w:r>
    </w:p>
    <w:p w14:paraId="5C9C173A" w14:textId="77777777" w:rsidR="00C60CA9" w:rsidRPr="009A6F08" w:rsidRDefault="00C60CA9" w:rsidP="00C60CA9">
      <w:pPr>
        <w:spacing w:line="480" w:lineRule="auto"/>
        <w:ind w:firstLine="709"/>
        <w:rPr>
          <w:rFonts w:cs="Arial"/>
          <w:lang w:val="en-GB"/>
        </w:rPr>
      </w:pPr>
      <w:r w:rsidRPr="009A6F08">
        <w:rPr>
          <w:rFonts w:cs="Arial"/>
          <w:lang w:val="en-GB"/>
        </w:rPr>
        <w:t xml:space="preserve">The case study that follows tries to </w:t>
      </w:r>
      <w:proofErr w:type="gramStart"/>
      <w:r w:rsidRPr="009A6F08">
        <w:rPr>
          <w:rFonts w:cs="Arial"/>
          <w:lang w:val="en-GB"/>
        </w:rPr>
        <w:t>make a contribution</w:t>
      </w:r>
      <w:proofErr w:type="gramEnd"/>
      <w:r w:rsidRPr="009A6F08">
        <w:rPr>
          <w:rFonts w:cs="Arial"/>
          <w:lang w:val="en-GB"/>
        </w:rPr>
        <w:t xml:space="preserve"> to the debate by facing the empirical and conceptual shortcomings identified above. The rest of the article is organized as follows. After this introduction, section II presents the study case and motivates its relevance for the broader debate. Section III presents a conceptual framework and the empirical strategy linked to it. Section IV explores the results. Section V provides an analytical discussion of those </w:t>
      </w:r>
      <w:r w:rsidRPr="009A6F08">
        <w:rPr>
          <w:rFonts w:cs="Arial"/>
          <w:lang w:val="en-GB"/>
        </w:rPr>
        <w:lastRenderedPageBreak/>
        <w:t>results. The conclusions in section VI summarize the main arguments by providing a brief chronological narrative and reflecting on the general implications of the study.</w:t>
      </w:r>
    </w:p>
    <w:p w14:paraId="6B33FE2F" w14:textId="77777777" w:rsidR="00C60CA9" w:rsidRPr="009A6F08" w:rsidRDefault="00C60CA9" w:rsidP="00C60CA9">
      <w:pPr>
        <w:spacing w:line="480" w:lineRule="auto"/>
        <w:rPr>
          <w:rFonts w:cs="Arial"/>
          <w:lang w:val="en-GB"/>
        </w:rPr>
      </w:pPr>
    </w:p>
    <w:p w14:paraId="44AB436A" w14:textId="77777777" w:rsidR="00C60CA9" w:rsidRPr="009A6F08" w:rsidRDefault="00C60CA9" w:rsidP="00C60CA9">
      <w:pPr>
        <w:spacing w:line="480" w:lineRule="auto"/>
        <w:rPr>
          <w:rFonts w:cs="Arial"/>
          <w:lang w:val="en-GB"/>
        </w:rPr>
      </w:pPr>
    </w:p>
    <w:p w14:paraId="79461A89" w14:textId="77777777" w:rsidR="00C60CA9" w:rsidRPr="009A6F08" w:rsidRDefault="00C60CA9" w:rsidP="00C60CA9">
      <w:pPr>
        <w:spacing w:line="480" w:lineRule="auto"/>
        <w:rPr>
          <w:rFonts w:cs="Arial"/>
          <w:b/>
          <w:lang w:val="en-GB"/>
        </w:rPr>
      </w:pPr>
      <w:r w:rsidRPr="009A6F08">
        <w:rPr>
          <w:rFonts w:cs="Arial"/>
          <w:b/>
          <w:lang w:val="en-GB"/>
        </w:rPr>
        <w:t>II</w:t>
      </w:r>
    </w:p>
    <w:p w14:paraId="11750297" w14:textId="77777777" w:rsidR="00C60CA9" w:rsidRPr="009A6F08" w:rsidRDefault="00C60CA9" w:rsidP="00C60CA9">
      <w:pPr>
        <w:spacing w:line="480" w:lineRule="auto"/>
        <w:rPr>
          <w:rFonts w:cs="Arial"/>
          <w:lang w:val="en-GB"/>
        </w:rPr>
      </w:pPr>
    </w:p>
    <w:p w14:paraId="50F12868" w14:textId="77777777" w:rsidR="00C60CA9" w:rsidRPr="009A6F08" w:rsidRDefault="00C60CA9" w:rsidP="00C60CA9">
      <w:pPr>
        <w:spacing w:line="480" w:lineRule="auto"/>
        <w:ind w:firstLine="709"/>
        <w:rPr>
          <w:rFonts w:cs="Arial"/>
          <w:lang w:val="en-GB"/>
        </w:rPr>
      </w:pPr>
      <w:r w:rsidRPr="009A6F08">
        <w:rPr>
          <w:rFonts w:cs="Arial"/>
          <w:lang w:val="en-GB"/>
        </w:rPr>
        <w:t>The case selected here is that of dairy products in Spain between the 1960s and the 1980s. Spain may be an interesting case because it gives us a particularly striking contrast between the two historical stages discussed above.</w:t>
      </w:r>
      <w:r w:rsidRPr="009A6F08">
        <w:rPr>
          <w:rStyle w:val="Refdenotaalpie"/>
          <w:rFonts w:cs="Arial"/>
          <w:lang w:val="en-GB"/>
        </w:rPr>
        <w:footnoteReference w:id="13"/>
      </w:r>
      <w:r w:rsidRPr="009A6F08">
        <w:rPr>
          <w:rFonts w:cs="Arial"/>
          <w:lang w:val="en-GB"/>
        </w:rPr>
        <w:t xml:space="preserve"> Both the nutritional transition and the industrialization of food production had already been underway in the century prior to around 1960. Especially during the decades before the Civil War of 1936-1939, food intakes had become more abundant, more regular and (even if slightly) more diverse. A modern food processing industry, in turn, had been taking shape since the second half of the nineteenth century, becoming one of the major branches in the early stages of the country’s industrialization. </w:t>
      </w:r>
    </w:p>
    <w:p w14:paraId="4EA7F78B" w14:textId="77777777" w:rsidR="00C60CA9" w:rsidRPr="009A6F08" w:rsidRDefault="00C60CA9" w:rsidP="00C60CA9">
      <w:pPr>
        <w:spacing w:line="480" w:lineRule="auto"/>
        <w:ind w:firstLine="709"/>
        <w:rPr>
          <w:rFonts w:cs="Arial"/>
          <w:lang w:val="en-GB"/>
        </w:rPr>
      </w:pPr>
      <w:r w:rsidRPr="009A6F08">
        <w:rPr>
          <w:rFonts w:cs="Arial"/>
          <w:lang w:val="en-GB"/>
        </w:rPr>
        <w:t xml:space="preserve">However, by 1960 Spanish consumers were far from having completed their nutritional transition, and Spain’s food system was far from being industry-dominated. On the demand side, calorie intakes may have been sufficient and widely similar across social groups, but most diets remained poor in proteins, </w:t>
      </w:r>
      <w:proofErr w:type="gramStart"/>
      <w:r w:rsidRPr="009A6F08">
        <w:rPr>
          <w:rFonts w:cs="Arial"/>
          <w:lang w:val="en-GB"/>
        </w:rPr>
        <w:t>vitamins</w:t>
      </w:r>
      <w:proofErr w:type="gramEnd"/>
      <w:r w:rsidRPr="009A6F08">
        <w:rPr>
          <w:rFonts w:cs="Arial"/>
          <w:lang w:val="en-GB"/>
        </w:rPr>
        <w:t xml:space="preserve"> and key minerals such as calcium. The consumption of meat and milk, in which major gaps between higher- and lower-income groups existed, had </w:t>
      </w:r>
      <w:proofErr w:type="gramStart"/>
      <w:r w:rsidRPr="009A6F08">
        <w:rPr>
          <w:rFonts w:cs="Arial"/>
          <w:lang w:val="en-GB"/>
        </w:rPr>
        <w:lastRenderedPageBreak/>
        <w:t>actually become</w:t>
      </w:r>
      <w:proofErr w:type="gramEnd"/>
      <w:r w:rsidRPr="009A6F08">
        <w:rPr>
          <w:rFonts w:cs="Arial"/>
          <w:lang w:val="en-GB"/>
        </w:rPr>
        <w:t xml:space="preserve"> a very visible marker of social status among households. On the supply side, the commercialization and consumption of farm output was taking place mostly through traditional, small-scale, unspecialized channels and networks rather than through those related to the processing industry.</w:t>
      </w:r>
    </w:p>
    <w:p w14:paraId="1CD08091" w14:textId="77777777" w:rsidR="00C60CA9" w:rsidRPr="009A6F08" w:rsidRDefault="00C60CA9" w:rsidP="00C60CA9">
      <w:pPr>
        <w:spacing w:line="480" w:lineRule="auto"/>
        <w:ind w:firstLine="709"/>
        <w:rPr>
          <w:rFonts w:cs="Arial"/>
          <w:lang w:val="en-GB"/>
        </w:rPr>
      </w:pPr>
      <w:r w:rsidRPr="009A6F08">
        <w:rPr>
          <w:rFonts w:cs="Arial"/>
          <w:lang w:val="en-GB"/>
        </w:rPr>
        <w:t>Drastic change took place after 1960, though. On the demand side, the consumption of meat, milk and eggs became widespread among all status groups, while the consumption of basic, crop-based foods (such as those based on cereals and legumes) decreased. On the supply side, the food processing industry grew rapidly and became the major node of the food system. The integration of farmers in industry-dominated networks escalated, as did the proportion of processed foods within the country’s total food supply.</w:t>
      </w:r>
    </w:p>
    <w:p w14:paraId="05E0F1D4" w14:textId="77777777" w:rsidR="00C60CA9" w:rsidRPr="009A6F08" w:rsidRDefault="00C60CA9" w:rsidP="00C60CA9">
      <w:pPr>
        <w:spacing w:line="480" w:lineRule="auto"/>
        <w:ind w:firstLine="709"/>
        <w:rPr>
          <w:rFonts w:cs="Arial"/>
          <w:lang w:val="en-GB"/>
        </w:rPr>
      </w:pPr>
      <w:r w:rsidRPr="009A6F08">
        <w:rPr>
          <w:rFonts w:cs="Arial"/>
          <w:lang w:val="en-GB"/>
        </w:rPr>
        <w:t>The case of dairy products is representative of these trends. Still by the mid-1960s, Spain’s level of dairy consumption was very low for Western standards. The consumption of liquid milk</w:t>
      </w:r>
      <w:proofErr w:type="gramStart"/>
      <w:r w:rsidRPr="009A6F08">
        <w:rPr>
          <w:rFonts w:cs="Arial"/>
          <w:lang w:val="en-GB"/>
        </w:rPr>
        <w:t>, in particular, had</w:t>
      </w:r>
      <w:proofErr w:type="gramEnd"/>
      <w:r w:rsidRPr="009A6F08">
        <w:rPr>
          <w:rFonts w:cs="Arial"/>
          <w:lang w:val="en-GB"/>
        </w:rPr>
        <w:t xml:space="preserve"> been on the rise since the late nineteenth century, but mostly among high-income groups and in a tiny strip of Atlantic-climate regions in the north of the country. For low-income groups, milk was too expensive a product. Outside the Atlantic-climate strip, the production of cow’s milk under the (by then prevailing) organic technologies was very costly because rainfall was scarce and </w:t>
      </w:r>
      <w:proofErr w:type="gramStart"/>
      <w:r w:rsidRPr="009A6F08">
        <w:rPr>
          <w:rFonts w:cs="Arial"/>
          <w:lang w:val="en-GB"/>
        </w:rPr>
        <w:t>irregular</w:t>
      </w:r>
      <w:proofErr w:type="gramEnd"/>
      <w:r w:rsidRPr="009A6F08">
        <w:rPr>
          <w:rFonts w:cs="Arial"/>
          <w:lang w:val="en-GB"/>
        </w:rPr>
        <w:t xml:space="preserve"> and this imposed a heavy constraint on the availability of meadows and natural pasture lands. Due to this combination of supply- and demand-side obstacles, the spread of milk consumption was taking place very slowly. By 1965 around one quarter of Spain’s population did not drink any milk on a regular basis. This was not compensated in a substantial way by higher levels of consumption of dairy products other than liquid milk. In contrast to northern European countries, butter was not popular (in </w:t>
      </w:r>
      <w:r w:rsidRPr="009A6F08">
        <w:rPr>
          <w:rFonts w:cs="Arial"/>
          <w:lang w:val="en-GB"/>
        </w:rPr>
        <w:lastRenderedPageBreak/>
        <w:t>large measure because vegetal fats, olive oil in particular, were widely available). And, in contrast to other southern European countries, cheese consumption was low (</w:t>
      </w:r>
      <w:proofErr w:type="gramStart"/>
      <w:r w:rsidRPr="009A6F08">
        <w:rPr>
          <w:rFonts w:cs="Arial"/>
          <w:lang w:val="en-GB"/>
        </w:rPr>
        <w:t>in spite of</w:t>
      </w:r>
      <w:proofErr w:type="gramEnd"/>
      <w:r w:rsidRPr="009A6F08">
        <w:rPr>
          <w:rFonts w:cs="Arial"/>
          <w:lang w:val="en-GB"/>
        </w:rPr>
        <w:t xml:space="preserve"> cheese production being mostly free from the environmental constraints alluded to above) and there had never been an autochthonous tradition of producing fermented milks (such as yoghurt) whether on a domestic or on an industrial scale.</w:t>
      </w:r>
      <w:r w:rsidRPr="009A6F08">
        <w:rPr>
          <w:rStyle w:val="Refdenotaalpie"/>
          <w:rFonts w:cs="Arial"/>
          <w:lang w:val="en-GB"/>
        </w:rPr>
        <w:footnoteReference w:id="14"/>
      </w:r>
    </w:p>
    <w:p w14:paraId="21A9F981" w14:textId="77777777" w:rsidR="00C60CA9" w:rsidRPr="009A6F08" w:rsidRDefault="00C60CA9" w:rsidP="00C60CA9">
      <w:pPr>
        <w:spacing w:line="480" w:lineRule="auto"/>
        <w:ind w:firstLine="709"/>
        <w:rPr>
          <w:rFonts w:cs="Arial"/>
          <w:lang w:val="en-GB"/>
        </w:rPr>
      </w:pPr>
      <w:r w:rsidRPr="009A6F08">
        <w:rPr>
          <w:rFonts w:cs="Arial"/>
          <w:lang w:val="en-GB"/>
        </w:rPr>
        <w:t>In the quarter century after 1965, however, a dramatic transformation took place (figure 1; table 1). The consumption of dairy products grew very rapidly, especially between the mid-1960s and the mid-1970s. The product that led the way was liquid milk, especially processed liquid milk. By 1990, the consumption of liquid milk (and increasingly cheese and yoghurt as well) had become massive and was widespread across all social groups and regions in the country. It was probably one of the fastest-growing experiences in European dairy history and it allowed for a substantial convergence to the dairy consumption levels prevailing in most of Western Europe.</w:t>
      </w:r>
      <w:r w:rsidRPr="009A6F08">
        <w:rPr>
          <w:rStyle w:val="Refdenotaalpie"/>
          <w:rFonts w:cs="Arial"/>
          <w:lang w:val="en-GB"/>
        </w:rPr>
        <w:footnoteReference w:id="15"/>
      </w:r>
      <w:r w:rsidRPr="009A6F08">
        <w:rPr>
          <w:rFonts w:cs="Arial"/>
          <w:lang w:val="en-GB"/>
        </w:rPr>
        <w:t xml:space="preserve"> </w:t>
      </w:r>
    </w:p>
    <w:p w14:paraId="10D59924" w14:textId="77777777" w:rsidR="00C60CA9" w:rsidRPr="009A6F08" w:rsidRDefault="00C60CA9" w:rsidP="00C60CA9">
      <w:pPr>
        <w:spacing w:line="480" w:lineRule="auto"/>
        <w:rPr>
          <w:rFonts w:cs="Arial"/>
          <w:lang w:val="en-GB"/>
        </w:rPr>
      </w:pPr>
    </w:p>
    <w:p w14:paraId="6D60B44C" w14:textId="77777777" w:rsidR="00C60CA9" w:rsidRPr="009A6F08" w:rsidRDefault="00C60CA9" w:rsidP="00C60CA9">
      <w:pPr>
        <w:spacing w:line="480" w:lineRule="auto"/>
        <w:jc w:val="center"/>
        <w:rPr>
          <w:rFonts w:cs="Arial"/>
          <w:lang w:val="en-GB"/>
        </w:rPr>
      </w:pPr>
      <w:r w:rsidRPr="009A6F08">
        <w:rPr>
          <w:rFonts w:cs="Arial"/>
          <w:lang w:val="en-GB"/>
        </w:rPr>
        <w:t>[FIGURE 1]</w:t>
      </w:r>
    </w:p>
    <w:p w14:paraId="31F1A69F" w14:textId="77777777" w:rsidR="00C60CA9" w:rsidRPr="009A6F08" w:rsidRDefault="00C60CA9" w:rsidP="00C60CA9">
      <w:pPr>
        <w:spacing w:line="480" w:lineRule="auto"/>
        <w:jc w:val="center"/>
        <w:rPr>
          <w:rFonts w:cs="Arial"/>
          <w:lang w:val="en-GB"/>
        </w:rPr>
      </w:pPr>
      <w:r w:rsidRPr="009A6F08">
        <w:rPr>
          <w:rFonts w:cs="Arial"/>
          <w:lang w:val="en-GB"/>
        </w:rPr>
        <w:t>[TABLE 1]</w:t>
      </w:r>
    </w:p>
    <w:p w14:paraId="1E91E187" w14:textId="77777777" w:rsidR="00C60CA9" w:rsidRPr="009A6F08" w:rsidRDefault="00C60CA9" w:rsidP="00C60CA9">
      <w:pPr>
        <w:spacing w:line="480" w:lineRule="auto"/>
        <w:jc w:val="center"/>
        <w:rPr>
          <w:rFonts w:cs="Arial"/>
          <w:lang w:val="en-GB"/>
        </w:rPr>
      </w:pPr>
    </w:p>
    <w:p w14:paraId="5D85C19F" w14:textId="77777777" w:rsidR="00C60CA9" w:rsidRPr="009A6F08" w:rsidRDefault="00C60CA9" w:rsidP="00C60CA9">
      <w:pPr>
        <w:spacing w:line="480" w:lineRule="auto"/>
        <w:ind w:firstLine="709"/>
        <w:rPr>
          <w:rFonts w:cs="Arial"/>
          <w:lang w:val="en-GB"/>
        </w:rPr>
      </w:pPr>
      <w:r w:rsidRPr="009A6F08">
        <w:rPr>
          <w:rFonts w:cs="Arial"/>
          <w:lang w:val="en-GB"/>
        </w:rPr>
        <w:t xml:space="preserve">The massification of dairy consumption made a major contribution to Spain’s progress in biological living standards during the period. Prior to dairy massification, calorie and protein intakes had already risen well above biological </w:t>
      </w:r>
      <w:r w:rsidRPr="009A6F08">
        <w:rPr>
          <w:rFonts w:cs="Arial"/>
          <w:lang w:val="en-GB"/>
        </w:rPr>
        <w:lastRenderedPageBreak/>
        <w:t xml:space="preserve">needs, but most population suffered from severe calcium deficiency. Spain was </w:t>
      </w:r>
      <w:proofErr w:type="gramStart"/>
      <w:r w:rsidRPr="009A6F08">
        <w:rPr>
          <w:rFonts w:cs="Arial"/>
          <w:lang w:val="en-GB"/>
        </w:rPr>
        <w:t>actually one</w:t>
      </w:r>
      <w:proofErr w:type="gramEnd"/>
      <w:r w:rsidRPr="009A6F08">
        <w:rPr>
          <w:rFonts w:cs="Arial"/>
          <w:lang w:val="en-GB"/>
        </w:rPr>
        <w:t xml:space="preserve"> of the Western European countries where heights were lowest. After the 1960s, conversely, most households were able to correct the calcium deficiency problem and the boost in dairy consumption was joined by an equally remarkable boost in heights.</w:t>
      </w:r>
      <w:r w:rsidRPr="009A6F08">
        <w:rPr>
          <w:rStyle w:val="Refdenotaalpie"/>
          <w:rFonts w:cs="Arial"/>
          <w:lang w:val="en-GB"/>
        </w:rPr>
        <w:footnoteReference w:id="16"/>
      </w:r>
    </w:p>
    <w:p w14:paraId="6F61D8D6" w14:textId="77777777" w:rsidR="00C60CA9" w:rsidRPr="009A6F08" w:rsidRDefault="00C60CA9" w:rsidP="00C60CA9">
      <w:pPr>
        <w:spacing w:line="480" w:lineRule="auto"/>
        <w:ind w:firstLine="709"/>
        <w:rPr>
          <w:rFonts w:cs="Arial"/>
          <w:lang w:val="en-GB"/>
        </w:rPr>
      </w:pPr>
      <w:r w:rsidRPr="009A6F08">
        <w:rPr>
          <w:rFonts w:cs="Arial"/>
          <w:lang w:val="en-GB"/>
        </w:rPr>
        <w:t xml:space="preserve">These demand-side developments coincided with major changes on the supply side. Still by 1965, dairy farmers sold merely one quarter of their milk output to dairy processors. There were </w:t>
      </w:r>
      <w:proofErr w:type="gramStart"/>
      <w:r w:rsidRPr="009A6F08">
        <w:rPr>
          <w:rFonts w:cs="Arial"/>
          <w:lang w:val="en-GB"/>
        </w:rPr>
        <w:t>actually just</w:t>
      </w:r>
      <w:proofErr w:type="gramEnd"/>
      <w:r w:rsidRPr="009A6F08">
        <w:rPr>
          <w:rFonts w:cs="Arial"/>
          <w:lang w:val="en-GB"/>
        </w:rPr>
        <w:t xml:space="preserve"> a few processors and most of them were involved in the secondary market niche of condensed and powdered milk. Around 85 per cent of the milk drunk by consumers was raw milk that they would buy from dairy farmers or small traders. By 1990, however, an extended group of processors were buying from farmers more than three quarters of the latter’s milk output and were selling consumers almost 80 per cent of the milk that they drank.</w:t>
      </w:r>
      <w:r w:rsidRPr="009A6F08">
        <w:rPr>
          <w:rStyle w:val="Refdenotaalpie"/>
          <w:rFonts w:cs="Arial"/>
          <w:lang w:val="en-GB"/>
        </w:rPr>
        <w:footnoteReference w:id="17"/>
      </w:r>
      <w:r w:rsidRPr="009A6F08">
        <w:rPr>
          <w:rFonts w:cs="Arial"/>
          <w:lang w:val="en-GB"/>
        </w:rPr>
        <w:t xml:space="preserve"> This extraordinarily rapid process of dairy industrialization is in many ways reminiscent of what the literature has described for the West’s food system after 1945.</w:t>
      </w:r>
    </w:p>
    <w:p w14:paraId="17C86F0C" w14:textId="77777777" w:rsidR="00C60CA9" w:rsidRPr="009A6F08" w:rsidRDefault="00C60CA9" w:rsidP="00C60CA9">
      <w:pPr>
        <w:spacing w:line="480" w:lineRule="auto"/>
        <w:ind w:firstLine="709"/>
        <w:rPr>
          <w:rFonts w:cs="Arial"/>
          <w:lang w:val="en-GB"/>
        </w:rPr>
      </w:pPr>
      <w:r w:rsidRPr="009A6F08">
        <w:rPr>
          <w:rFonts w:cs="Arial"/>
          <w:lang w:val="en-GB"/>
        </w:rPr>
        <w:t xml:space="preserve">The case of dairy products in Spain is also representative of the broader historiographical trends presented in the introduction. Early accounts, especially that by José Manuel Naredo, explained rapid growth in dairy consumption </w:t>
      </w:r>
      <w:proofErr w:type="gramStart"/>
      <w:r w:rsidRPr="009A6F08">
        <w:rPr>
          <w:rFonts w:cs="Arial"/>
          <w:lang w:val="en-GB"/>
        </w:rPr>
        <w:t>as a consequence of</w:t>
      </w:r>
      <w:proofErr w:type="gramEnd"/>
      <w:r w:rsidRPr="009A6F08">
        <w:rPr>
          <w:rFonts w:cs="Arial"/>
          <w:lang w:val="en-GB"/>
        </w:rPr>
        <w:t xml:space="preserve"> economic growth and the subsequent rise in household income. This would have made it easier for consumers to afford foods that, as was the </w:t>
      </w:r>
      <w:r w:rsidRPr="009A6F08">
        <w:rPr>
          <w:rFonts w:cs="Arial"/>
          <w:lang w:val="en-GB"/>
        </w:rPr>
        <w:lastRenderedPageBreak/>
        <w:t xml:space="preserve">case of milk, had a relatively </w:t>
      </w:r>
      <w:proofErr w:type="gramStart"/>
      <w:r w:rsidRPr="009A6F08">
        <w:rPr>
          <w:rFonts w:cs="Arial"/>
          <w:lang w:val="en-GB"/>
        </w:rPr>
        <w:t>high income</w:t>
      </w:r>
      <w:proofErr w:type="gramEnd"/>
      <w:r w:rsidRPr="009A6F08">
        <w:rPr>
          <w:rFonts w:cs="Arial"/>
          <w:lang w:val="en-GB"/>
        </w:rPr>
        <w:t xml:space="preserve"> elasticity (a sort of stylized fact that Naredo incorporated exogenously to the analysis).</w:t>
      </w:r>
      <w:r w:rsidRPr="009A6F08">
        <w:rPr>
          <w:rStyle w:val="Refdenotaalpie"/>
          <w:rFonts w:cs="Arial"/>
          <w:lang w:val="en-GB"/>
        </w:rPr>
        <w:footnoteReference w:id="18"/>
      </w:r>
      <w:r w:rsidRPr="009A6F08">
        <w:rPr>
          <w:rFonts w:cs="Arial"/>
          <w:lang w:val="en-GB"/>
        </w:rPr>
        <w:t xml:space="preserve"> </w:t>
      </w:r>
    </w:p>
    <w:p w14:paraId="7F58E903" w14:textId="77777777" w:rsidR="00C60CA9" w:rsidRPr="009A6F08" w:rsidRDefault="00C60CA9" w:rsidP="00C60CA9">
      <w:pPr>
        <w:spacing w:line="480" w:lineRule="auto"/>
        <w:ind w:firstLine="709"/>
        <w:rPr>
          <w:rFonts w:cs="Arial"/>
          <w:lang w:val="en-GB"/>
        </w:rPr>
      </w:pPr>
      <w:r w:rsidRPr="009A6F08">
        <w:rPr>
          <w:rFonts w:cs="Arial"/>
          <w:lang w:val="en-GB"/>
        </w:rPr>
        <w:t>Later explanations, however, have emphasized supply-side transformations instead. Alicia Langreo, for instance, has put consumption growth in relation to the industrialization of milk production and the changes taking place in State policy. The Franco regime had implemented an active policy in favour of dairy industrialization as early as 1952, but it was only from 1966 onwards when the policy would have become truly successful. The major instrument of this policy was the creation of a network of so-called ‘milk centrals’ – private companies that received a public licence to produce pasteurized milk within a given local area under price conditions set by the State. Langreo’s interpretation is that the price conditions set by the State in the early days of this policy implied profit levels that were too low, while the policy revision that took place in 1966 restored profitability and the incentives for investment in milk processing. This in turn would have made it possible for populations outside the rainfall-abundant regions of the country to become regular drinkers of milk at reasonable prices.</w:t>
      </w:r>
      <w:r w:rsidRPr="009A6F08">
        <w:rPr>
          <w:rStyle w:val="Refdenotaalpie"/>
          <w:rFonts w:cs="Arial"/>
          <w:lang w:val="en-GB"/>
        </w:rPr>
        <w:footnoteReference w:id="19"/>
      </w:r>
      <w:r w:rsidRPr="009A6F08">
        <w:rPr>
          <w:rFonts w:cs="Arial"/>
          <w:lang w:val="en-GB"/>
        </w:rPr>
        <w:t xml:space="preserve"> The interpretation proposed by Josep Pujol and Xavier Cussó also stresses the role played by the introduction of industrial technologies for food processing. Under an organic technological regime, the climate conditions prevailing in most of Spain would have hindered the development of a nutritional transition, especially the spread of meat and milk consumption. It would have been food industrialization, of which dairy industrialization would serve as a </w:t>
      </w:r>
      <w:r w:rsidRPr="009A6F08">
        <w:rPr>
          <w:rFonts w:cs="Arial"/>
          <w:lang w:val="en-GB"/>
        </w:rPr>
        <w:lastRenderedPageBreak/>
        <w:t>suitable illustration, what would have freed Spain’s food system from such constraints and would have allowed for dairy (or, for that matter, meat) consumption to become massive.</w:t>
      </w:r>
      <w:r w:rsidRPr="009A6F08">
        <w:rPr>
          <w:rStyle w:val="Refdenotaalpie"/>
          <w:rFonts w:cs="Arial"/>
          <w:lang w:val="en-GB"/>
        </w:rPr>
        <w:footnoteReference w:id="20"/>
      </w:r>
    </w:p>
    <w:p w14:paraId="10F00723" w14:textId="77777777" w:rsidR="00C60CA9" w:rsidRPr="009A6F08" w:rsidRDefault="00C60CA9" w:rsidP="00C60CA9">
      <w:pPr>
        <w:spacing w:line="480" w:lineRule="auto"/>
        <w:rPr>
          <w:rFonts w:cs="Arial"/>
          <w:b/>
          <w:lang w:val="en-GB"/>
        </w:rPr>
      </w:pPr>
    </w:p>
    <w:p w14:paraId="634E84AE" w14:textId="77777777" w:rsidR="00C60CA9" w:rsidRPr="009A6F08" w:rsidRDefault="00C60CA9" w:rsidP="00C60CA9">
      <w:pPr>
        <w:spacing w:line="480" w:lineRule="auto"/>
        <w:rPr>
          <w:rFonts w:cs="Arial"/>
          <w:b/>
          <w:lang w:val="en-GB"/>
        </w:rPr>
      </w:pPr>
    </w:p>
    <w:p w14:paraId="5645058A" w14:textId="77777777" w:rsidR="00C60CA9" w:rsidRPr="009A6F08" w:rsidRDefault="00C60CA9" w:rsidP="00C60CA9">
      <w:pPr>
        <w:spacing w:line="480" w:lineRule="auto"/>
        <w:rPr>
          <w:rFonts w:cs="Arial"/>
          <w:b/>
          <w:lang w:val="en-GB"/>
        </w:rPr>
      </w:pPr>
      <w:r w:rsidRPr="009A6F08">
        <w:rPr>
          <w:rFonts w:cs="Arial"/>
          <w:b/>
          <w:lang w:val="en-GB"/>
        </w:rPr>
        <w:t>III</w:t>
      </w:r>
    </w:p>
    <w:p w14:paraId="30F2626A" w14:textId="77777777" w:rsidR="00C60CA9" w:rsidRPr="009A6F08" w:rsidRDefault="00C60CA9" w:rsidP="00C60CA9">
      <w:pPr>
        <w:spacing w:line="480" w:lineRule="auto"/>
        <w:rPr>
          <w:rFonts w:cs="Arial"/>
          <w:b/>
          <w:lang w:val="en-GB"/>
        </w:rPr>
      </w:pPr>
    </w:p>
    <w:p w14:paraId="5DB649D5" w14:textId="77777777" w:rsidR="00C60CA9" w:rsidRPr="009A6F08" w:rsidRDefault="00C60CA9" w:rsidP="00C60CA9">
      <w:pPr>
        <w:spacing w:line="480" w:lineRule="auto"/>
        <w:ind w:firstLine="709"/>
        <w:rPr>
          <w:rFonts w:cs="Arial"/>
          <w:lang w:val="en-GB"/>
        </w:rPr>
      </w:pPr>
      <w:r w:rsidRPr="009A6F08">
        <w:rPr>
          <w:rFonts w:cs="Arial"/>
          <w:lang w:val="en-GB"/>
        </w:rPr>
        <w:t xml:space="preserve">The conceptual framework used here is based on Malassis’ theoretical synthesis about food consumption. Malassis proposes that changes in food consumption can be explained by developments in three areas: consumers’ demand capacity, producers’ supply capacity, and the socio-cultural context. Demand capacity basically depends on household income and its social distribution. The relative price of foods would give an indication about the evolution of supply capacity. Finally, the socio-cultural context includes </w:t>
      </w:r>
      <w:proofErr w:type="gramStart"/>
      <w:r w:rsidRPr="009A6F08">
        <w:rPr>
          <w:rFonts w:cs="Arial"/>
          <w:lang w:val="en-GB"/>
        </w:rPr>
        <w:t>a large number of</w:t>
      </w:r>
      <w:proofErr w:type="gramEnd"/>
      <w:r w:rsidRPr="009A6F08">
        <w:rPr>
          <w:rFonts w:cs="Arial"/>
          <w:lang w:val="en-GB"/>
        </w:rPr>
        <w:t xml:space="preserve"> variables which would influence consumers for or against particular food items and practices. Socio-cultural variables would range from objective variables, such as household organization or the settlement structure of the population, to subjective variables such as consumers’ qualitative preferences.</w:t>
      </w:r>
      <w:r w:rsidRPr="009A6F08">
        <w:rPr>
          <w:rStyle w:val="Refdenotaalpie"/>
          <w:rFonts w:cs="Arial"/>
          <w:lang w:val="en-GB"/>
        </w:rPr>
        <w:footnoteReference w:id="21"/>
      </w:r>
    </w:p>
    <w:p w14:paraId="353B5B9A" w14:textId="77777777" w:rsidR="00C60CA9" w:rsidRPr="009A6F08" w:rsidRDefault="00C60CA9" w:rsidP="00C60CA9">
      <w:pPr>
        <w:spacing w:line="480" w:lineRule="auto"/>
        <w:ind w:firstLine="709"/>
        <w:rPr>
          <w:rFonts w:cs="Arial"/>
          <w:lang w:val="en-GB"/>
        </w:rPr>
      </w:pPr>
      <w:r w:rsidRPr="009A6F08">
        <w:rPr>
          <w:rFonts w:cs="Arial"/>
          <w:lang w:val="en-GB"/>
        </w:rPr>
        <w:t>This conceptual base can be integrated in the broader framework of evolutionary socioeconomics.</w:t>
      </w:r>
      <w:r w:rsidRPr="009A6F08">
        <w:rPr>
          <w:rStyle w:val="Refdenotaalpie"/>
          <w:rFonts w:cs="Arial"/>
          <w:color w:val="222222"/>
          <w:shd w:val="clear" w:color="auto" w:fill="FFFFFF"/>
          <w:lang w:val="en-GB"/>
        </w:rPr>
        <w:footnoteReference w:id="22"/>
      </w:r>
      <w:r w:rsidRPr="009A6F08">
        <w:rPr>
          <w:rFonts w:cs="Arial"/>
          <w:lang w:val="en-GB"/>
        </w:rPr>
        <w:t xml:space="preserve"> The state of each of the three (groups of) </w:t>
      </w:r>
      <w:r w:rsidRPr="009A6F08">
        <w:rPr>
          <w:rFonts w:cs="Arial"/>
          <w:lang w:val="en-GB"/>
        </w:rPr>
        <w:lastRenderedPageBreak/>
        <w:t>variables presented above would result from selection environments that are semi-autonomous from one another. This allows for a variety of possible paths of diet change, depending on the degree up to which developments in each of these semi-autonomous spheres fit well with one another. The coming together of propitious developments in macroeconomic, mesoeconomic and socio-cultural terms would lead to the emergence of food consumption regimes, such as the one identified by Malassis for the period 1950-1980 (the mass, agri-industrial consumption regime). A lower degree of coherence would result in transitional intervals, such as those that some studies have found for periods both before and after the triumph of the industrial diet.</w:t>
      </w:r>
      <w:r w:rsidRPr="009A6F08">
        <w:rPr>
          <w:rStyle w:val="Refdenotaalpie"/>
          <w:rFonts w:cs="Arial"/>
          <w:lang w:val="en-GB"/>
        </w:rPr>
        <w:footnoteReference w:id="23"/>
      </w:r>
      <w:r w:rsidRPr="009A6F08">
        <w:rPr>
          <w:rFonts w:cs="Arial"/>
          <w:lang w:val="en-GB"/>
        </w:rPr>
        <w:t xml:space="preserve"> </w:t>
      </w:r>
    </w:p>
    <w:p w14:paraId="4135FA03" w14:textId="77777777" w:rsidR="00C60CA9" w:rsidRPr="009A6F08" w:rsidRDefault="00C60CA9" w:rsidP="00C60CA9">
      <w:pPr>
        <w:spacing w:line="480" w:lineRule="auto"/>
        <w:ind w:firstLine="709"/>
        <w:rPr>
          <w:rFonts w:cs="Arial"/>
          <w:lang w:val="en-GB"/>
        </w:rPr>
      </w:pPr>
      <w:r w:rsidRPr="009A6F08">
        <w:rPr>
          <w:rFonts w:cs="Arial"/>
          <w:lang w:val="en-GB"/>
        </w:rPr>
        <w:t xml:space="preserve">A simple empirical strategy can be used </w:t>
      </w:r>
      <w:proofErr w:type="gramStart"/>
      <w:r w:rsidRPr="009A6F08">
        <w:rPr>
          <w:rFonts w:cs="Arial"/>
          <w:lang w:val="en-GB"/>
        </w:rPr>
        <w:t>in order to</w:t>
      </w:r>
      <w:proofErr w:type="gramEnd"/>
      <w:r w:rsidRPr="009A6F08">
        <w:rPr>
          <w:rFonts w:cs="Arial"/>
          <w:lang w:val="en-GB"/>
        </w:rPr>
        <w:t xml:space="preserve"> operationalize this conceptual framework. It consists of two distinct levels.</w:t>
      </w:r>
      <w:r w:rsidRPr="009A6F08">
        <w:rPr>
          <w:rStyle w:val="Refdenotaalpie"/>
          <w:rFonts w:cs="Arial"/>
          <w:lang w:val="en-GB"/>
        </w:rPr>
        <w:footnoteReference w:id="24"/>
      </w:r>
      <w:r w:rsidRPr="009A6F08">
        <w:rPr>
          <w:rFonts w:cs="Arial"/>
          <w:lang w:val="en-GB"/>
        </w:rPr>
        <w:t xml:space="preserve"> The first of them deals with the economic possibilities of consumers and investigates the household budget constraint faced by the latter. We can approach this empirically by observing household income and the relative price of </w:t>
      </w:r>
      <w:proofErr w:type="gramStart"/>
      <w:r w:rsidRPr="009A6F08">
        <w:rPr>
          <w:rFonts w:cs="Arial"/>
          <w:lang w:val="en-GB"/>
        </w:rPr>
        <w:t>particular foods</w:t>
      </w:r>
      <w:proofErr w:type="gramEnd"/>
      <w:r w:rsidRPr="009A6F08">
        <w:rPr>
          <w:rFonts w:cs="Arial"/>
          <w:lang w:val="en-GB"/>
        </w:rPr>
        <w:t>. More specifically, we will follow the strategy that both Malassis and Scholliers borrow from economist Jean Fourastié: given the price of a given food item in a given moment in time, we will measure the proportion of its income that an average household would have to spend in order to secure the purchase of some benchmark quantity of that food item.</w:t>
      </w:r>
      <w:r w:rsidRPr="009A6F08">
        <w:rPr>
          <w:rStyle w:val="Refdenotaalpie"/>
          <w:rFonts w:cs="Arial"/>
          <w:lang w:val="en-GB"/>
        </w:rPr>
        <w:footnoteReference w:id="25"/>
      </w:r>
      <w:r w:rsidRPr="009A6F08">
        <w:rPr>
          <w:rFonts w:cs="Arial"/>
          <w:lang w:val="en-GB"/>
        </w:rPr>
        <w:t xml:space="preserve"> Decreases in that proportion would indicate a softening of the budget constraint and, moving one step beyond Malassis or Scholliers, we may decompose the respective contributions of </w:t>
      </w:r>
      <w:r w:rsidRPr="009A6F08">
        <w:rPr>
          <w:rFonts w:cs="Arial"/>
          <w:lang w:val="en-GB"/>
        </w:rPr>
        <w:lastRenderedPageBreak/>
        <w:t>income and prices to said softening. In our case, this would allow us to confront the macroeconomic hypothesis, which attaches great importance to income growth, with the mesoeconomic arguments that highlight the impact of food industrialization on consumer prices.</w:t>
      </w:r>
    </w:p>
    <w:p w14:paraId="4EC5217A" w14:textId="77777777" w:rsidR="00C60CA9" w:rsidRPr="009A6F08" w:rsidRDefault="00C60CA9" w:rsidP="00C60CA9">
      <w:pPr>
        <w:spacing w:line="480" w:lineRule="auto"/>
        <w:ind w:firstLine="709"/>
        <w:rPr>
          <w:rFonts w:cs="Arial"/>
          <w:lang w:val="en-GB"/>
        </w:rPr>
      </w:pPr>
      <w:r w:rsidRPr="009A6F08">
        <w:rPr>
          <w:rFonts w:cs="Arial"/>
          <w:lang w:val="en-GB"/>
        </w:rPr>
        <w:t>A second level of analysis deals with consumer preferences and orientations. Two consumers may be facing the same budget constraint and still behave differently if their qualitative valuations of the food items under study are different. Economic calculations are, following sociologist Mark Granovetter, embedded in assessments and orientations of a not strictly (or perhaps not even remotely) economic nature.</w:t>
      </w:r>
      <w:r w:rsidRPr="009A6F08">
        <w:rPr>
          <w:rStyle w:val="Refdenotaalpie"/>
          <w:rFonts w:cs="Arial"/>
          <w:lang w:val="en-GB"/>
        </w:rPr>
        <w:footnoteReference w:id="26"/>
      </w:r>
      <w:r w:rsidRPr="009A6F08">
        <w:rPr>
          <w:rFonts w:cs="Arial"/>
          <w:lang w:val="en-GB"/>
        </w:rPr>
        <w:t xml:space="preserve"> In our case these assessments and orientations are crucial because they define the empirical field over which changes in income and prices exert an impact on consumer behaviour. An indirect empirical approximation to this is what we may call the responsiveness factor – the ratio between change in consumption and change in price-adjusted purchasing power. Even though this is not an elasticity from a formal point of view, the intuition behind it is </w:t>
      </w:r>
      <w:proofErr w:type="gramStart"/>
      <w:r w:rsidRPr="009A6F08">
        <w:rPr>
          <w:rFonts w:cs="Arial"/>
          <w:lang w:val="en-GB"/>
        </w:rPr>
        <w:t>more or less similar</w:t>
      </w:r>
      <w:proofErr w:type="gramEnd"/>
      <w:r w:rsidRPr="009A6F08">
        <w:rPr>
          <w:rFonts w:cs="Arial"/>
          <w:lang w:val="en-GB"/>
        </w:rPr>
        <w:t xml:space="preserve">. As a matter of fact, we would expect that, as is the case with conventional elasticities, responsiveness factors would decline gradually as the life cycle of a product unfolds. In the early stage of the product life cycle, consumption grows much more rapidly than price-adjusted purchasing power. The product enters next a more mature stage in which consumers are still responsive to increases in purchasing power, but not as much as before. Finally, when the last stage of the life cycle sets in, consumers become barely responsive </w:t>
      </w:r>
      <w:r w:rsidRPr="009A6F08">
        <w:rPr>
          <w:rFonts w:cs="Arial"/>
          <w:lang w:val="en-GB"/>
        </w:rPr>
        <w:lastRenderedPageBreak/>
        <w:t>to changes in the economic situation and consumption may even decrease as consumers become more interested in other, more novel products.</w:t>
      </w:r>
      <w:r w:rsidRPr="009A6F08">
        <w:rPr>
          <w:rStyle w:val="Refdenotaalpie"/>
          <w:rFonts w:cs="Arial"/>
          <w:lang w:val="en-GB"/>
        </w:rPr>
        <w:footnoteReference w:id="27"/>
      </w:r>
    </w:p>
    <w:p w14:paraId="7BA21DBB" w14:textId="77777777" w:rsidR="00C60CA9" w:rsidRPr="009A6F08" w:rsidRDefault="00C60CA9" w:rsidP="00C60CA9">
      <w:pPr>
        <w:spacing w:line="480" w:lineRule="auto"/>
        <w:ind w:firstLine="709"/>
        <w:rPr>
          <w:rFonts w:cs="Arial"/>
          <w:lang w:val="en-GB"/>
        </w:rPr>
      </w:pPr>
      <w:r w:rsidRPr="009A6F08">
        <w:rPr>
          <w:rFonts w:cs="Arial"/>
          <w:lang w:val="en-GB"/>
        </w:rPr>
        <w:t>The main quantitative source used here are the household budget surveys conducted by the Instituto Nacional de Estadística for 1964/5, 1973/4, 1980/1 and 1990/1.</w:t>
      </w:r>
      <w:r w:rsidRPr="009A6F08">
        <w:rPr>
          <w:rStyle w:val="Refdenotaalpie"/>
          <w:rFonts w:cs="Arial"/>
          <w:lang w:val="en-GB"/>
        </w:rPr>
        <w:footnoteReference w:id="28"/>
      </w:r>
      <w:r w:rsidRPr="009A6F08">
        <w:rPr>
          <w:rFonts w:cs="Arial"/>
          <w:lang w:val="en-GB"/>
        </w:rPr>
        <w:t xml:space="preserve"> They provide data on consumption of the main dairy products, household expenditure (which can be used to calculate implicit consumer prices), and household income. Except for the 1973/4 survey, the information is disaggregated by products, income groups and provinces. This is a highly reliable source for the study of food consumption in Spain.</w:t>
      </w:r>
      <w:r w:rsidRPr="009A6F08">
        <w:rPr>
          <w:rStyle w:val="Refdenotaalpie"/>
          <w:rFonts w:cs="Arial"/>
          <w:lang w:val="en-GB"/>
        </w:rPr>
        <w:footnoteReference w:id="29"/>
      </w:r>
      <w:r w:rsidRPr="009A6F08">
        <w:rPr>
          <w:rFonts w:cs="Arial"/>
          <w:lang w:val="en-GB"/>
        </w:rPr>
        <w:t xml:space="preserve"> </w:t>
      </w:r>
    </w:p>
    <w:p w14:paraId="155B9C07" w14:textId="77777777" w:rsidR="00C60CA9" w:rsidRPr="009A6F08" w:rsidRDefault="00C60CA9" w:rsidP="00C60CA9">
      <w:pPr>
        <w:spacing w:line="480" w:lineRule="auto"/>
        <w:ind w:firstLine="709"/>
        <w:rPr>
          <w:rFonts w:cs="Arial"/>
          <w:lang w:val="en-GB"/>
        </w:rPr>
      </w:pPr>
      <w:r w:rsidRPr="009A6F08">
        <w:rPr>
          <w:rFonts w:cs="Arial"/>
          <w:lang w:val="en-GB"/>
        </w:rPr>
        <w:t>It is more controversial whether this source can be used for the study of household income, since it seems to suffer from some under-reporting bias.</w:t>
      </w:r>
      <w:r w:rsidRPr="009A6F08">
        <w:rPr>
          <w:rStyle w:val="Refdenotaalpie"/>
          <w:rFonts w:cs="Arial"/>
          <w:lang w:val="en-GB"/>
        </w:rPr>
        <w:footnoteReference w:id="30"/>
      </w:r>
      <w:r w:rsidRPr="009A6F08">
        <w:rPr>
          <w:rFonts w:cs="Arial"/>
          <w:lang w:val="en-GB"/>
        </w:rPr>
        <w:t xml:space="preserve"> The results that are presented in the next section, though, would be similar if we used income data from alternative sources such as national accounts. </w:t>
      </w:r>
      <w:proofErr w:type="gramStart"/>
      <w:r w:rsidRPr="009A6F08">
        <w:rPr>
          <w:rFonts w:cs="Arial"/>
          <w:lang w:val="en-GB"/>
        </w:rPr>
        <w:t>In order to</w:t>
      </w:r>
      <w:proofErr w:type="gramEnd"/>
      <w:r w:rsidRPr="009A6F08">
        <w:rPr>
          <w:rFonts w:cs="Arial"/>
          <w:lang w:val="en-GB"/>
        </w:rPr>
        <w:t xml:space="preserve"> consider scale economies in household consumption, a conventional Luxembourg equivalence scale has been applied.</w:t>
      </w:r>
      <w:r w:rsidRPr="009A6F08">
        <w:rPr>
          <w:rStyle w:val="Refdenotaalpie"/>
          <w:rFonts w:cs="Arial"/>
          <w:lang w:val="en-GB"/>
        </w:rPr>
        <w:footnoteReference w:id="31"/>
      </w:r>
      <w:r w:rsidRPr="009A6F08">
        <w:rPr>
          <w:rFonts w:cs="Arial"/>
          <w:lang w:val="en-GB"/>
        </w:rPr>
        <w:t xml:space="preserve"> The results are virtually identical if other alternatives (such as an Oxford scale) are chosen, or if we choose to apply no equivalence scale at all.</w:t>
      </w:r>
    </w:p>
    <w:p w14:paraId="767D6D37" w14:textId="77777777" w:rsidR="00C60CA9" w:rsidRPr="009A6F08" w:rsidRDefault="00C60CA9" w:rsidP="00C60CA9">
      <w:pPr>
        <w:spacing w:line="480" w:lineRule="auto"/>
        <w:ind w:firstLine="709"/>
        <w:rPr>
          <w:rFonts w:cs="Arial"/>
          <w:lang w:val="en-GB"/>
        </w:rPr>
      </w:pPr>
      <w:r w:rsidRPr="009A6F08">
        <w:rPr>
          <w:rFonts w:cs="Arial"/>
          <w:lang w:val="en-GB"/>
        </w:rPr>
        <w:t xml:space="preserve">When it comes to dairy prices, the province-level implicit prices contained in the source have been weighed by province populations (the most disaggregated spatial unit for which data are available). This gives a more realistic picture of the budget constraint faced by the average household than </w:t>
      </w:r>
      <w:r w:rsidRPr="009A6F08">
        <w:rPr>
          <w:rFonts w:cs="Arial"/>
          <w:lang w:val="en-GB"/>
        </w:rPr>
        <w:lastRenderedPageBreak/>
        <w:t>nation-level implicit prices. The problem with nation-level implicit prices is that in the early part of our period the milk market was poorly integrated on a national scale and there were large regional differences in both consumption and prices, which biases nation-level implicit prices towards the experience of high-consumption, low-price provinces and against that of low-consumption, high-price provinces.</w:t>
      </w:r>
      <w:r w:rsidRPr="009A6F08">
        <w:rPr>
          <w:rStyle w:val="Refdenotaalpie"/>
          <w:rFonts w:cs="Arial"/>
          <w:lang w:val="en-GB"/>
        </w:rPr>
        <w:footnoteReference w:id="32"/>
      </w:r>
      <w:r w:rsidRPr="009A6F08">
        <w:rPr>
          <w:rFonts w:cs="Arial"/>
          <w:lang w:val="en-GB"/>
        </w:rPr>
        <w:t xml:space="preserve"> Anyway, the discrepancies between the results presented next and the results that we would get if we used nation-level implicit prices are minor and actually run against the arguments defended here.</w:t>
      </w:r>
    </w:p>
    <w:p w14:paraId="44D3CB6B" w14:textId="77777777" w:rsidR="00C60CA9" w:rsidRPr="009A6F08" w:rsidRDefault="00C60CA9" w:rsidP="00C60CA9">
      <w:pPr>
        <w:spacing w:line="480" w:lineRule="auto"/>
        <w:ind w:firstLine="709"/>
        <w:rPr>
          <w:rFonts w:cs="Arial"/>
          <w:lang w:val="en-GB"/>
        </w:rPr>
      </w:pPr>
      <w:r w:rsidRPr="009A6F08">
        <w:rPr>
          <w:rFonts w:cs="Arial"/>
          <w:lang w:val="en-GB"/>
        </w:rPr>
        <w:t xml:space="preserve">It was necessary to perform some manipulations upon the raw data </w:t>
      </w:r>
      <w:proofErr w:type="gramStart"/>
      <w:r w:rsidRPr="009A6F08">
        <w:rPr>
          <w:rFonts w:cs="Arial"/>
          <w:lang w:val="en-GB"/>
        </w:rPr>
        <w:t>in order to</w:t>
      </w:r>
      <w:proofErr w:type="gramEnd"/>
      <w:r w:rsidRPr="009A6F08">
        <w:rPr>
          <w:rFonts w:cs="Arial"/>
          <w:lang w:val="en-GB"/>
        </w:rPr>
        <w:t xml:space="preserve"> improve their comparability over time and, in some cases, produce plausible conjectures about the order of magnitude of some variables which were not directly observable. The social and territorial categories of the surveys, for instance, were homogenized.</w:t>
      </w:r>
      <w:r w:rsidRPr="009A6F08">
        <w:rPr>
          <w:rStyle w:val="Refdenotaalpie"/>
          <w:rFonts w:cs="Arial"/>
          <w:lang w:val="en-GB"/>
        </w:rPr>
        <w:footnoteReference w:id="33"/>
      </w:r>
      <w:r w:rsidRPr="009A6F08">
        <w:rPr>
          <w:rFonts w:cs="Arial"/>
          <w:lang w:val="en-GB"/>
        </w:rPr>
        <w:t xml:space="preserve"> The general price index was used to deflate nominal expenditure and nominal prices.</w:t>
      </w:r>
      <w:r w:rsidRPr="009A6F08">
        <w:rPr>
          <w:rStyle w:val="Refdenotaalpie"/>
          <w:rFonts w:cs="Arial"/>
          <w:lang w:val="en-GB"/>
        </w:rPr>
        <w:footnoteReference w:id="34"/>
      </w:r>
      <w:r w:rsidRPr="009A6F08">
        <w:rPr>
          <w:rFonts w:cs="Arial"/>
          <w:lang w:val="en-GB"/>
        </w:rPr>
        <w:t xml:space="preserve"> The absence of consumption data in the 1973/4 survey was dealt with by assuming that the observable growth in the 1964/5-1980/1 period had been distributed between the pre- and post-1973/4 subperiods in the proportions that can be derived from an alternative, indirect source: the food balances estimated by the Ministry of Agriculture on an annual basis.</w:t>
      </w:r>
      <w:r w:rsidRPr="009A6F08">
        <w:rPr>
          <w:rStyle w:val="Refdenotaalpie"/>
          <w:rFonts w:cs="Arial"/>
          <w:lang w:val="en-GB"/>
        </w:rPr>
        <w:footnoteReference w:id="35"/>
      </w:r>
      <w:r w:rsidRPr="009A6F08">
        <w:rPr>
          <w:rFonts w:cs="Arial"/>
          <w:lang w:val="en-GB"/>
        </w:rPr>
        <w:t xml:space="preserve"> </w:t>
      </w:r>
    </w:p>
    <w:p w14:paraId="0C2FAC34" w14:textId="77777777" w:rsidR="00C60CA9" w:rsidRPr="009A6F08" w:rsidRDefault="00C60CA9" w:rsidP="00C60CA9">
      <w:pPr>
        <w:spacing w:line="480" w:lineRule="auto"/>
        <w:ind w:firstLine="709"/>
        <w:rPr>
          <w:rFonts w:cs="Arial"/>
          <w:lang w:val="en-GB"/>
        </w:rPr>
      </w:pPr>
      <w:r w:rsidRPr="009A6F08">
        <w:rPr>
          <w:rFonts w:cs="Arial"/>
          <w:lang w:val="en-GB"/>
        </w:rPr>
        <w:t xml:space="preserve">In order to obtain data for processed versus raw milk, the available figures for sterilized versus other (raw and pasteurized) milks for 1980/1 and 1990/1 were used, while the consumption shares of each type of milk were triangulated with the nominal price data for sterilized, pasteurized and raw milk provided by an </w:t>
      </w:r>
      <w:r w:rsidRPr="009A6F08">
        <w:rPr>
          <w:rFonts w:cs="Arial"/>
          <w:lang w:val="en-GB"/>
        </w:rPr>
        <w:lastRenderedPageBreak/>
        <w:t>alternative source for 1988: the food consumption panel published by the Ministry of Agriculture, Fisheries and Food.</w:t>
      </w:r>
      <w:r w:rsidRPr="009A6F08">
        <w:rPr>
          <w:rStyle w:val="Refdenotaalpie"/>
          <w:rFonts w:cs="Arial"/>
          <w:lang w:val="en-GB"/>
        </w:rPr>
        <w:footnoteReference w:id="36"/>
      </w:r>
      <w:r w:rsidRPr="009A6F08">
        <w:rPr>
          <w:rFonts w:cs="Arial"/>
          <w:lang w:val="en-GB"/>
        </w:rPr>
        <w:t xml:space="preserve"> It has been assumed that the very stable price ratios between these three types of milk that can be observed for the 1980s were there in 1964 as well. This is an arbitrary assumption, but a sensibility analysis based on other possible alternatives reveals that the price ratios should have undergone changes of a truly disproportionate magnitude </w:t>
      </w:r>
      <w:proofErr w:type="gramStart"/>
      <w:r w:rsidRPr="009A6F08">
        <w:rPr>
          <w:rFonts w:cs="Arial"/>
          <w:lang w:val="en-GB"/>
        </w:rPr>
        <w:t>in order for</w:t>
      </w:r>
      <w:proofErr w:type="gramEnd"/>
      <w:r w:rsidRPr="009A6F08">
        <w:rPr>
          <w:rFonts w:cs="Arial"/>
          <w:lang w:val="en-GB"/>
        </w:rPr>
        <w:t xml:space="preserve"> the results presented here to be affected in any substantial way. All in all, this is clearly the most conjectural element in the article’s quantitative base.</w:t>
      </w:r>
    </w:p>
    <w:p w14:paraId="1BEE02B0" w14:textId="77777777" w:rsidR="00C60CA9" w:rsidRPr="009A6F08" w:rsidRDefault="00C60CA9" w:rsidP="00C60CA9">
      <w:pPr>
        <w:spacing w:line="480" w:lineRule="auto"/>
        <w:ind w:firstLine="709"/>
        <w:rPr>
          <w:rFonts w:cs="Arial"/>
          <w:lang w:val="en-GB"/>
        </w:rPr>
      </w:pPr>
      <w:r w:rsidRPr="009A6F08">
        <w:rPr>
          <w:rFonts w:cs="Arial"/>
          <w:lang w:val="en-GB"/>
        </w:rPr>
        <w:t xml:space="preserve">The quantitative information has been complemented with qualitative material taken from a systematic review of the two main professional dairy journals in the period: </w:t>
      </w:r>
      <w:r w:rsidRPr="009A6F08">
        <w:rPr>
          <w:rFonts w:cs="Arial"/>
          <w:i/>
          <w:lang w:val="en-GB"/>
        </w:rPr>
        <w:t>Revista Española de Lechería</w:t>
      </w:r>
      <w:r w:rsidRPr="009A6F08">
        <w:rPr>
          <w:rFonts w:cs="Arial"/>
          <w:lang w:val="en-GB"/>
        </w:rPr>
        <w:t xml:space="preserve"> (the publication of which had started in 1951) and </w:t>
      </w:r>
      <w:r w:rsidRPr="009A6F08">
        <w:rPr>
          <w:rFonts w:cs="Arial"/>
          <w:i/>
          <w:lang w:val="en-GB"/>
        </w:rPr>
        <w:t>Industrias Lácteas Españolas</w:t>
      </w:r>
      <w:r w:rsidRPr="009A6F08">
        <w:rPr>
          <w:rFonts w:cs="Arial"/>
          <w:lang w:val="en-GB"/>
        </w:rPr>
        <w:t xml:space="preserve"> (which was published for the first time in 1978). These journals provide a very heterogeneous set of materials, ranging from scientific articles to editorial pieces, as well as business news and advertisements. The information that these materials provide about consumers’ desires and anxieties will be useful </w:t>
      </w:r>
      <w:proofErr w:type="gramStart"/>
      <w:r w:rsidRPr="009A6F08">
        <w:rPr>
          <w:rFonts w:cs="Arial"/>
          <w:lang w:val="en-GB"/>
        </w:rPr>
        <w:t>in order to</w:t>
      </w:r>
      <w:proofErr w:type="gramEnd"/>
      <w:r w:rsidRPr="009A6F08">
        <w:rPr>
          <w:rFonts w:cs="Arial"/>
          <w:lang w:val="en-GB"/>
        </w:rPr>
        <w:t xml:space="preserve"> interpret and explain the quantitative results (the responsiveness factors, in particular).</w:t>
      </w:r>
      <w:r w:rsidRPr="009A6F08">
        <w:rPr>
          <w:rStyle w:val="Refdenotaalpie"/>
          <w:rFonts w:cs="Arial"/>
          <w:lang w:val="en-GB"/>
        </w:rPr>
        <w:footnoteReference w:id="37"/>
      </w:r>
    </w:p>
    <w:p w14:paraId="14E9CB78" w14:textId="77777777" w:rsidR="00C60CA9" w:rsidRPr="009A6F08" w:rsidRDefault="00C60CA9" w:rsidP="00C60CA9">
      <w:pPr>
        <w:spacing w:line="480" w:lineRule="auto"/>
        <w:rPr>
          <w:rFonts w:cs="Arial"/>
          <w:lang w:val="en-GB"/>
        </w:rPr>
      </w:pPr>
    </w:p>
    <w:p w14:paraId="682F708A" w14:textId="77777777" w:rsidR="00C60CA9" w:rsidRPr="009A6F08" w:rsidRDefault="00C60CA9" w:rsidP="00C60CA9">
      <w:pPr>
        <w:spacing w:line="480" w:lineRule="auto"/>
        <w:rPr>
          <w:rFonts w:cs="Arial"/>
          <w:b/>
          <w:lang w:val="en-GB"/>
        </w:rPr>
      </w:pPr>
    </w:p>
    <w:p w14:paraId="7EFD55F1" w14:textId="77777777" w:rsidR="00C60CA9" w:rsidRPr="009A6F08" w:rsidRDefault="00C60CA9" w:rsidP="00C60CA9">
      <w:pPr>
        <w:spacing w:line="480" w:lineRule="auto"/>
        <w:rPr>
          <w:rFonts w:cs="Arial"/>
          <w:b/>
          <w:lang w:val="en-GB"/>
        </w:rPr>
      </w:pPr>
      <w:r w:rsidRPr="009A6F08">
        <w:rPr>
          <w:rFonts w:cs="Arial"/>
          <w:b/>
          <w:lang w:val="en-GB"/>
        </w:rPr>
        <w:t>IV</w:t>
      </w:r>
    </w:p>
    <w:p w14:paraId="57D6E966" w14:textId="77777777" w:rsidR="00C60CA9" w:rsidRPr="009A6F08" w:rsidRDefault="00C60CA9" w:rsidP="00C60CA9">
      <w:pPr>
        <w:spacing w:line="480" w:lineRule="auto"/>
        <w:rPr>
          <w:rFonts w:cs="Arial"/>
          <w:b/>
          <w:lang w:val="en-GB"/>
        </w:rPr>
      </w:pPr>
    </w:p>
    <w:p w14:paraId="6AC4C8CA" w14:textId="77777777" w:rsidR="00C60CA9" w:rsidRPr="009A6F08" w:rsidRDefault="00C60CA9" w:rsidP="00C60CA9">
      <w:pPr>
        <w:spacing w:line="480" w:lineRule="auto"/>
        <w:ind w:firstLine="709"/>
        <w:rPr>
          <w:rFonts w:cs="Arial"/>
          <w:lang w:val="en-GB"/>
        </w:rPr>
      </w:pPr>
      <w:r w:rsidRPr="009A6F08">
        <w:rPr>
          <w:rFonts w:cs="Arial"/>
          <w:lang w:val="en-GB"/>
        </w:rPr>
        <w:t xml:space="preserve">The budget constraint that Spanish households were facing at the start of the period was remarkably hard. The subsequent massification of dairy </w:t>
      </w:r>
      <w:r w:rsidRPr="009A6F08">
        <w:rPr>
          <w:rFonts w:cs="Arial"/>
          <w:lang w:val="en-GB"/>
        </w:rPr>
        <w:lastRenderedPageBreak/>
        <w:t xml:space="preserve">consumption was strongly linked to the transition towards a softer constraint (table 2). </w:t>
      </w:r>
      <w:proofErr w:type="gramStart"/>
      <w:r w:rsidRPr="009A6F08">
        <w:rPr>
          <w:rFonts w:cs="Arial"/>
          <w:lang w:val="en-GB"/>
        </w:rPr>
        <w:t>In order to</w:t>
      </w:r>
      <w:proofErr w:type="gramEnd"/>
      <w:r w:rsidRPr="009A6F08">
        <w:rPr>
          <w:rFonts w:cs="Arial"/>
          <w:lang w:val="en-GB"/>
        </w:rPr>
        <w:t xml:space="preserve"> measure this, we may fix the consumption benchmarks of 100 kilograms of milk, five kilograms of cheese and/or 10 kilograms of yoghurt per person and year. Each of these represents a modest threshold of regular consumption – approximately, one cup of milk every day, a 100-gram portion of cheese every week and/or a couple of yoghurts per week. Still by the mid-1960s, the average household had to use more than four per cent of its income </w:t>
      </w:r>
      <w:proofErr w:type="gramStart"/>
      <w:r w:rsidRPr="009A6F08">
        <w:rPr>
          <w:rFonts w:cs="Arial"/>
          <w:lang w:val="en-GB"/>
        </w:rPr>
        <w:t>in order to</w:t>
      </w:r>
      <w:proofErr w:type="gramEnd"/>
      <w:r w:rsidRPr="009A6F08">
        <w:rPr>
          <w:rFonts w:cs="Arial"/>
          <w:lang w:val="en-GB"/>
        </w:rPr>
        <w:t xml:space="preserve"> purchase 100 kilograms of milk. This value would have increased over six per cent in case that the household had added five kilograms of cheese per person and year.</w:t>
      </w:r>
    </w:p>
    <w:p w14:paraId="1A57EC50" w14:textId="77777777" w:rsidR="00C60CA9" w:rsidRPr="009A6F08" w:rsidRDefault="00C60CA9" w:rsidP="00C60CA9">
      <w:pPr>
        <w:spacing w:line="480" w:lineRule="auto"/>
        <w:rPr>
          <w:rFonts w:cs="Arial"/>
          <w:lang w:val="en-GB"/>
        </w:rPr>
      </w:pPr>
    </w:p>
    <w:p w14:paraId="3A11875D" w14:textId="77777777" w:rsidR="00C60CA9" w:rsidRPr="009A6F08" w:rsidRDefault="00C60CA9" w:rsidP="00C60CA9">
      <w:pPr>
        <w:spacing w:line="480" w:lineRule="auto"/>
        <w:jc w:val="center"/>
        <w:rPr>
          <w:rFonts w:cs="Arial"/>
          <w:lang w:val="en-GB"/>
        </w:rPr>
      </w:pPr>
      <w:r w:rsidRPr="009A6F08">
        <w:rPr>
          <w:rFonts w:cs="Arial"/>
          <w:lang w:val="en-GB"/>
        </w:rPr>
        <w:t>[TABLE 2]</w:t>
      </w:r>
    </w:p>
    <w:p w14:paraId="4D82CD81" w14:textId="77777777" w:rsidR="00C60CA9" w:rsidRPr="009A6F08" w:rsidRDefault="00C60CA9" w:rsidP="00C60CA9">
      <w:pPr>
        <w:spacing w:line="480" w:lineRule="auto"/>
        <w:jc w:val="center"/>
        <w:rPr>
          <w:rFonts w:cs="Arial"/>
          <w:b/>
          <w:lang w:val="en-GB"/>
        </w:rPr>
      </w:pPr>
    </w:p>
    <w:p w14:paraId="2E12BC16" w14:textId="77777777" w:rsidR="00C60CA9" w:rsidRPr="009A6F08" w:rsidRDefault="00C60CA9" w:rsidP="00C60CA9">
      <w:pPr>
        <w:spacing w:line="480" w:lineRule="auto"/>
        <w:ind w:firstLine="709"/>
        <w:rPr>
          <w:rFonts w:cs="Arial"/>
          <w:lang w:val="en-GB"/>
        </w:rPr>
      </w:pPr>
      <w:r w:rsidRPr="009A6F08">
        <w:rPr>
          <w:rFonts w:cs="Arial"/>
          <w:lang w:val="en-GB"/>
        </w:rPr>
        <w:t xml:space="preserve">Is this much? Or is it little? Obviously, one may always argue that spending six per cent of the household’s income was perfectly feasible </w:t>
      </w:r>
      <w:proofErr w:type="gramStart"/>
      <w:r w:rsidRPr="009A6F08">
        <w:rPr>
          <w:rFonts w:cs="Arial"/>
          <w:lang w:val="en-GB"/>
        </w:rPr>
        <w:t>as long as</w:t>
      </w:r>
      <w:proofErr w:type="gramEnd"/>
      <w:r w:rsidRPr="009A6F08">
        <w:rPr>
          <w:rFonts w:cs="Arial"/>
          <w:lang w:val="en-GB"/>
        </w:rPr>
        <w:t xml:space="preserve"> other consumption objectives were sacrificed. In this absolute sense, the budget constraint was clearly not unsurmountable. In a relative sense, though, the constraint was remarkable. Taking into consideration the proportions of household income that were absorbed by other expenditures (most of which were on basic needs such as food, </w:t>
      </w:r>
      <w:proofErr w:type="gramStart"/>
      <w:r w:rsidRPr="009A6F08">
        <w:rPr>
          <w:rFonts w:cs="Arial"/>
          <w:lang w:val="en-GB"/>
        </w:rPr>
        <w:t>dress</w:t>
      </w:r>
      <w:proofErr w:type="gramEnd"/>
      <w:r w:rsidRPr="009A6F08">
        <w:rPr>
          <w:rFonts w:cs="Arial"/>
          <w:lang w:val="en-GB"/>
        </w:rPr>
        <w:t xml:space="preserve"> and housing), the average household did not actually allocate more than four per cent of its income to purchasing milk and cheese.</w:t>
      </w:r>
      <w:r w:rsidRPr="009A6F08">
        <w:rPr>
          <w:rStyle w:val="Refdenotaalpie"/>
          <w:rFonts w:cs="Arial"/>
          <w:lang w:val="en-GB"/>
        </w:rPr>
        <w:footnoteReference w:id="38"/>
      </w:r>
    </w:p>
    <w:p w14:paraId="1FC652E3" w14:textId="77777777" w:rsidR="00C60CA9" w:rsidRPr="009A6F08" w:rsidRDefault="00C60CA9" w:rsidP="00C60CA9">
      <w:pPr>
        <w:spacing w:line="480" w:lineRule="auto"/>
        <w:ind w:firstLine="709"/>
        <w:rPr>
          <w:rFonts w:cs="Arial"/>
          <w:lang w:val="en-GB"/>
        </w:rPr>
      </w:pPr>
      <w:r w:rsidRPr="009A6F08">
        <w:rPr>
          <w:rFonts w:cs="Arial"/>
          <w:lang w:val="en-GB"/>
        </w:rPr>
        <w:t xml:space="preserve">Furthermore, the budget constraint faced by the average household does not capture well the economic obstacles that prevented many households from </w:t>
      </w:r>
      <w:r w:rsidRPr="009A6F08">
        <w:rPr>
          <w:rFonts w:cs="Arial"/>
          <w:lang w:val="en-GB"/>
        </w:rPr>
        <w:lastRenderedPageBreak/>
        <w:t>becoming regular consumers of dairy produce. In the lowest income quartile, for instance, buying 100 kilograms of milk per person and year would have absorbed as much as the prohibitive figure of almost 12 per cent of household income. Consumers in the Mediterranean and the South regions were facing a significant budget constraint as well. It is not surprising that, under these circumstances, the consumption levels of low-income households and the two mentioned regions remained well below the country’s average.</w:t>
      </w:r>
    </w:p>
    <w:p w14:paraId="16669F77" w14:textId="77777777" w:rsidR="00C60CA9" w:rsidRPr="009A6F08" w:rsidRDefault="00C60CA9" w:rsidP="00C60CA9">
      <w:pPr>
        <w:spacing w:line="480" w:lineRule="auto"/>
        <w:ind w:firstLine="709"/>
        <w:rPr>
          <w:rFonts w:cs="Arial"/>
          <w:lang w:val="en-GB"/>
        </w:rPr>
      </w:pPr>
      <w:r w:rsidRPr="009A6F08">
        <w:rPr>
          <w:rFonts w:cs="Arial"/>
          <w:lang w:val="en-GB"/>
        </w:rPr>
        <w:t xml:space="preserve">In the following years, however, the budget constraint became much softer. Around 1980, the economic effort that the average family had to make </w:t>
      </w:r>
      <w:proofErr w:type="gramStart"/>
      <w:r w:rsidRPr="009A6F08">
        <w:rPr>
          <w:rFonts w:cs="Arial"/>
          <w:lang w:val="en-GB"/>
        </w:rPr>
        <w:t>in order to</w:t>
      </w:r>
      <w:proofErr w:type="gramEnd"/>
      <w:r w:rsidRPr="009A6F08">
        <w:rPr>
          <w:rFonts w:cs="Arial"/>
          <w:lang w:val="en-GB"/>
        </w:rPr>
        <w:t xml:space="preserve"> reach the very same benchmarks had decreased to around one half of what it had been in the mid-1960s. The budget constraint became softer for all social groups and regions. This was particularly remarkable for low-income groups and for the traditionally low-consumption regions of the Mediterranean and the South. A telling comparison is that by the end of the period the consumption of one cup of milk every day in the South (the poorest region in the country) required a household budget effort lower than that which the high-income households had had to face back at the start of the period. Figure 2 shows how those provinces in which the budget constraint was originally </w:t>
      </w:r>
      <w:proofErr w:type="gramStart"/>
      <w:r w:rsidRPr="009A6F08">
        <w:rPr>
          <w:rFonts w:cs="Arial"/>
          <w:lang w:val="en-GB"/>
        </w:rPr>
        <w:t>hardest</w:t>
      </w:r>
      <w:proofErr w:type="gramEnd"/>
      <w:r w:rsidRPr="009A6F08">
        <w:rPr>
          <w:rFonts w:cs="Arial"/>
          <w:lang w:val="en-GB"/>
        </w:rPr>
        <w:t xml:space="preserve"> and milk consumption was lowest gradually transitioned towards the area in which other provinces had been from the start – an area in which the budget constraint was soft and milk consumption was widespread.</w:t>
      </w:r>
    </w:p>
    <w:p w14:paraId="7A005944" w14:textId="77777777" w:rsidR="00C60CA9" w:rsidRPr="009A6F08" w:rsidRDefault="00C60CA9" w:rsidP="00C60CA9">
      <w:pPr>
        <w:spacing w:line="480" w:lineRule="auto"/>
        <w:rPr>
          <w:rFonts w:cs="Arial"/>
          <w:lang w:val="en-GB"/>
        </w:rPr>
      </w:pPr>
    </w:p>
    <w:p w14:paraId="7A6D7904" w14:textId="77777777" w:rsidR="00C60CA9" w:rsidRPr="009A6F08" w:rsidRDefault="00C60CA9" w:rsidP="00C60CA9">
      <w:pPr>
        <w:spacing w:line="480" w:lineRule="auto"/>
        <w:jc w:val="center"/>
        <w:rPr>
          <w:rFonts w:cs="Arial"/>
          <w:lang w:val="en-GB"/>
        </w:rPr>
      </w:pPr>
      <w:r w:rsidRPr="009A6F08">
        <w:rPr>
          <w:rFonts w:cs="Arial"/>
          <w:lang w:val="en-GB"/>
        </w:rPr>
        <w:t>[FIGURE 2]</w:t>
      </w:r>
    </w:p>
    <w:p w14:paraId="54C87D45" w14:textId="77777777" w:rsidR="00C60CA9" w:rsidRPr="009A6F08" w:rsidRDefault="00C60CA9" w:rsidP="00C60CA9">
      <w:pPr>
        <w:spacing w:line="480" w:lineRule="auto"/>
        <w:ind w:firstLine="709"/>
        <w:rPr>
          <w:rFonts w:cs="Arial"/>
          <w:lang w:val="en-GB"/>
        </w:rPr>
      </w:pPr>
    </w:p>
    <w:p w14:paraId="2A7AB2C9" w14:textId="77777777" w:rsidR="00C60CA9" w:rsidRPr="009A6F08" w:rsidRDefault="00C60CA9" w:rsidP="00C60CA9">
      <w:pPr>
        <w:spacing w:line="480" w:lineRule="auto"/>
        <w:ind w:firstLine="709"/>
        <w:rPr>
          <w:rFonts w:cs="Arial"/>
          <w:lang w:val="en-GB"/>
        </w:rPr>
      </w:pPr>
      <w:r w:rsidRPr="009A6F08">
        <w:rPr>
          <w:rFonts w:cs="Arial"/>
          <w:lang w:val="en-GB"/>
        </w:rPr>
        <w:lastRenderedPageBreak/>
        <w:t xml:space="preserve">In summary, the budget constraint became </w:t>
      </w:r>
      <w:proofErr w:type="gramStart"/>
      <w:r w:rsidRPr="009A6F08">
        <w:rPr>
          <w:rFonts w:cs="Arial"/>
          <w:lang w:val="en-GB"/>
        </w:rPr>
        <w:t>softer</w:t>
      </w:r>
      <w:proofErr w:type="gramEnd"/>
      <w:r w:rsidRPr="009A6F08">
        <w:rPr>
          <w:rFonts w:cs="Arial"/>
          <w:lang w:val="en-GB"/>
        </w:rPr>
        <w:t xml:space="preserve"> and this favoured a rapid increase in dairy consumption and the latter’s diffusion even across those income groups and regions that had traditionally lagged behind. Having said that, what was more important for the softening of the budget constraint? Was it the evolution of consumer income or the evolution of dairy prices? Table 3 shows that in general terms it was the increase in household incomes. In the crucial case of milk, the period of fastest-growing consumption (1964-73) was actually a period during which the relative price of milk was even slightly on the rise, as it had already been the case (albeit more sharply) in the late 1950s and early 1960s.</w:t>
      </w:r>
      <w:r w:rsidRPr="009A6F08">
        <w:rPr>
          <w:rStyle w:val="Refdenotaalpie"/>
          <w:rFonts w:cs="Arial"/>
          <w:lang w:val="en-GB"/>
        </w:rPr>
        <w:footnoteReference w:id="39"/>
      </w:r>
      <w:r w:rsidRPr="009A6F08">
        <w:rPr>
          <w:rFonts w:cs="Arial"/>
          <w:lang w:val="en-GB"/>
        </w:rPr>
        <w:t xml:space="preserve"> Only during a brief period in the 1970s did the decrease in milk prices become the major element in the softening of the budget constraint. In the case of the main dairy product other than milk, cheese, the income effect was always dominant and there was also a moment (in this case, 1973-80) in which the relative price increased and, therefore, made a negative contribution to the softening of the household budget constraint. In the case of yoghurt, the data available for the 1980s show the income effect dominating slightly over the price effect.</w:t>
      </w:r>
    </w:p>
    <w:p w14:paraId="40298004" w14:textId="77777777" w:rsidR="00C60CA9" w:rsidRPr="009A6F08" w:rsidRDefault="00C60CA9" w:rsidP="00C60CA9">
      <w:pPr>
        <w:spacing w:line="480" w:lineRule="auto"/>
        <w:rPr>
          <w:rFonts w:cs="Arial"/>
          <w:lang w:val="en-GB"/>
        </w:rPr>
      </w:pPr>
    </w:p>
    <w:p w14:paraId="1320FFBC" w14:textId="77777777" w:rsidR="00C60CA9" w:rsidRPr="009A6F08" w:rsidRDefault="00C60CA9" w:rsidP="00C60CA9">
      <w:pPr>
        <w:spacing w:line="480" w:lineRule="auto"/>
        <w:jc w:val="center"/>
        <w:rPr>
          <w:rFonts w:cs="Arial"/>
          <w:lang w:val="en-GB"/>
        </w:rPr>
      </w:pPr>
      <w:r w:rsidRPr="009A6F08">
        <w:rPr>
          <w:rFonts w:cs="Arial"/>
          <w:lang w:val="en-GB"/>
        </w:rPr>
        <w:t>[TABLE 3]</w:t>
      </w:r>
    </w:p>
    <w:p w14:paraId="73FF8072" w14:textId="77777777" w:rsidR="00C60CA9" w:rsidRPr="009A6F08" w:rsidRDefault="00C60CA9" w:rsidP="00C60CA9">
      <w:pPr>
        <w:spacing w:line="480" w:lineRule="auto"/>
        <w:rPr>
          <w:rFonts w:cs="Arial"/>
          <w:b/>
          <w:lang w:val="en-US"/>
        </w:rPr>
      </w:pPr>
    </w:p>
    <w:p w14:paraId="2BEF9B9D" w14:textId="77777777" w:rsidR="00C60CA9" w:rsidRPr="009A6F08" w:rsidRDefault="00C60CA9" w:rsidP="00C60CA9">
      <w:pPr>
        <w:spacing w:line="480" w:lineRule="auto"/>
        <w:ind w:firstLine="709"/>
        <w:rPr>
          <w:rFonts w:cs="Arial"/>
          <w:lang w:val="en-GB"/>
        </w:rPr>
      </w:pPr>
      <w:r w:rsidRPr="009A6F08">
        <w:rPr>
          <w:rFonts w:cs="Arial"/>
          <w:lang w:val="en-GB"/>
        </w:rPr>
        <w:t xml:space="preserve">Breaking down these results according to social and territorial categories confirms that the income effect generally prevailed over the price effect (table 4). There is only one case, the case of milk in the Mediterranean region in the early part of the period, in which we find a price effect of a magnitude </w:t>
      </w:r>
      <w:proofErr w:type="gramStart"/>
      <w:r w:rsidRPr="009A6F08">
        <w:rPr>
          <w:rFonts w:cs="Arial"/>
          <w:lang w:val="en-GB"/>
        </w:rPr>
        <w:t>similar to</w:t>
      </w:r>
      <w:proofErr w:type="gramEnd"/>
      <w:r w:rsidRPr="009A6F08">
        <w:rPr>
          <w:rFonts w:cs="Arial"/>
          <w:lang w:val="en-GB"/>
        </w:rPr>
        <w:t xml:space="preserve"> that of </w:t>
      </w:r>
      <w:r w:rsidRPr="009A6F08">
        <w:rPr>
          <w:rFonts w:cs="Arial"/>
          <w:lang w:val="en-GB"/>
        </w:rPr>
        <w:lastRenderedPageBreak/>
        <w:t xml:space="preserve">the income effect. For this to happen, the lowest rate of household income growth had to combine with the highest initial prices and the largest subsequent price reduction. Province-level data reveal that in only eight out of fifty provinces (most of them belonging precisely to the Mediterranean region) the price effect was larger or </w:t>
      </w:r>
      <w:proofErr w:type="gramStart"/>
      <w:r w:rsidRPr="009A6F08">
        <w:rPr>
          <w:rFonts w:cs="Arial"/>
          <w:lang w:val="en-GB"/>
        </w:rPr>
        <w:t>similar to</w:t>
      </w:r>
      <w:proofErr w:type="gramEnd"/>
      <w:r w:rsidRPr="009A6F08">
        <w:rPr>
          <w:rFonts w:cs="Arial"/>
          <w:lang w:val="en-GB"/>
        </w:rPr>
        <w:t xml:space="preserve"> the income effect. Beyond these exceptions, the income effect prevailed clearly over the price effect for most disaggregations and products.  </w:t>
      </w:r>
    </w:p>
    <w:p w14:paraId="223195CD" w14:textId="77777777" w:rsidR="00C60CA9" w:rsidRPr="009A6F08" w:rsidRDefault="00C60CA9" w:rsidP="00C60CA9">
      <w:pPr>
        <w:spacing w:line="480" w:lineRule="auto"/>
        <w:rPr>
          <w:rFonts w:cs="Arial"/>
          <w:lang w:val="en-GB"/>
        </w:rPr>
      </w:pPr>
    </w:p>
    <w:p w14:paraId="634CA30D" w14:textId="77777777" w:rsidR="00C60CA9" w:rsidRPr="009A6F08" w:rsidRDefault="00C60CA9" w:rsidP="00C60CA9">
      <w:pPr>
        <w:spacing w:line="480" w:lineRule="auto"/>
        <w:jc w:val="center"/>
        <w:rPr>
          <w:rFonts w:cs="Arial"/>
          <w:lang w:val="en-GB"/>
        </w:rPr>
      </w:pPr>
      <w:r w:rsidRPr="009A6F08">
        <w:rPr>
          <w:rFonts w:cs="Arial"/>
          <w:lang w:val="en-GB"/>
        </w:rPr>
        <w:t>[TABLE 4]</w:t>
      </w:r>
    </w:p>
    <w:p w14:paraId="0E1811CD" w14:textId="77777777" w:rsidR="00C60CA9" w:rsidRPr="009A6F08" w:rsidRDefault="00C60CA9" w:rsidP="00C60CA9">
      <w:pPr>
        <w:spacing w:line="480" w:lineRule="auto"/>
        <w:jc w:val="center"/>
        <w:rPr>
          <w:rFonts w:cs="Arial"/>
          <w:lang w:val="en-GB"/>
        </w:rPr>
      </w:pPr>
    </w:p>
    <w:p w14:paraId="4C6FA469" w14:textId="77777777" w:rsidR="00C60CA9" w:rsidRPr="009A6F08" w:rsidRDefault="00C60CA9" w:rsidP="00C60CA9">
      <w:pPr>
        <w:spacing w:line="480" w:lineRule="auto"/>
        <w:ind w:firstLine="709"/>
        <w:rPr>
          <w:rFonts w:cs="Arial"/>
          <w:lang w:val="en-GB"/>
        </w:rPr>
      </w:pPr>
      <w:r w:rsidRPr="009A6F08">
        <w:rPr>
          <w:rFonts w:cs="Arial"/>
          <w:lang w:val="en-GB"/>
        </w:rPr>
        <w:t>If we move into the area of consumer orientations, table 5 gives an estimation of responsiveness factors for those products and periods for which making the calculation is possible. At first sight, the factors are unsurprising and seem to reflect the life cycle trajectory of each product. In the early years of the period, the responsiveness factor of milk is below one, but still quite high. This corresponds to an intermediate stage in the product life cycle, so that households still react to increases in purchasing power by adjusting their consumption level upwards. As milk consumption spreads, though, the product enters a more mature stage in which the responsiveness factor is smaller and eventually becomes negative. Starting as it does from a very low initial level of consumption, cheese shows responsiveness factors that are higher, even if similarly declining over time. The results for the 1980s prefigure the transition, which would culminate in the next decade, towards a new regime of dairy consumption featuring the substitution of milk by cheese and refrigerated desserts as key products.</w:t>
      </w:r>
      <w:r w:rsidRPr="009A6F08">
        <w:rPr>
          <w:rStyle w:val="Refdenotaalpie"/>
          <w:rFonts w:cs="Arial"/>
          <w:lang w:val="en-GB"/>
        </w:rPr>
        <w:footnoteReference w:id="40"/>
      </w:r>
    </w:p>
    <w:p w14:paraId="72034029" w14:textId="77777777" w:rsidR="00C60CA9" w:rsidRPr="009A6F08" w:rsidRDefault="00C60CA9" w:rsidP="00C60CA9">
      <w:pPr>
        <w:spacing w:line="480" w:lineRule="auto"/>
        <w:rPr>
          <w:rFonts w:cs="Arial"/>
          <w:lang w:val="en-GB"/>
        </w:rPr>
      </w:pPr>
    </w:p>
    <w:p w14:paraId="01C153F1" w14:textId="77777777" w:rsidR="00C60CA9" w:rsidRPr="009A6F08" w:rsidRDefault="00C60CA9" w:rsidP="00C60CA9">
      <w:pPr>
        <w:spacing w:line="480" w:lineRule="auto"/>
        <w:jc w:val="center"/>
        <w:rPr>
          <w:rFonts w:cs="Arial"/>
          <w:lang w:val="en-GB"/>
        </w:rPr>
      </w:pPr>
      <w:r w:rsidRPr="009A6F08">
        <w:rPr>
          <w:rFonts w:cs="Arial"/>
          <w:lang w:val="en-GB"/>
        </w:rPr>
        <w:t>[TABLE 5]</w:t>
      </w:r>
    </w:p>
    <w:p w14:paraId="70BDFF84" w14:textId="77777777" w:rsidR="00C60CA9" w:rsidRPr="009A6F08" w:rsidRDefault="00C60CA9" w:rsidP="00C60CA9">
      <w:pPr>
        <w:spacing w:line="480" w:lineRule="auto"/>
        <w:ind w:firstLine="709"/>
        <w:rPr>
          <w:rFonts w:cs="Arial"/>
          <w:lang w:val="en-GB"/>
        </w:rPr>
      </w:pPr>
    </w:p>
    <w:p w14:paraId="44006949" w14:textId="77777777" w:rsidR="00C60CA9" w:rsidRPr="009A6F08" w:rsidRDefault="00C60CA9" w:rsidP="00C60CA9">
      <w:pPr>
        <w:spacing w:line="480" w:lineRule="auto"/>
        <w:ind w:firstLine="709"/>
        <w:rPr>
          <w:rFonts w:cs="Arial"/>
          <w:lang w:val="en-GB"/>
        </w:rPr>
      </w:pPr>
      <w:r w:rsidRPr="009A6F08">
        <w:rPr>
          <w:rFonts w:cs="Arial"/>
          <w:lang w:val="en-GB"/>
        </w:rPr>
        <w:t xml:space="preserve">The intriguing point lies in the integration of these responsiveness factors into a longer-run picture, especially in the crucial case of milk. In figure 3 we can see that milk does not follow a conventional life cycle curve – the responsiveness factor does not decrease gradually. The responsiveness factor was very high in the earlier part of the twentieth century, but by the years prior to the start of our period it had fallen to almost zero. That is, consumption experienced almost no change </w:t>
      </w:r>
      <w:proofErr w:type="gramStart"/>
      <w:r w:rsidRPr="009A6F08">
        <w:rPr>
          <w:rFonts w:cs="Arial"/>
          <w:lang w:val="en-GB"/>
        </w:rPr>
        <w:t>in spite of</w:t>
      </w:r>
      <w:proofErr w:type="gramEnd"/>
      <w:r w:rsidRPr="009A6F08">
        <w:rPr>
          <w:rFonts w:cs="Arial"/>
          <w:lang w:val="en-GB"/>
        </w:rPr>
        <w:t xml:space="preserve"> a remarkable increase in households’ purchasing power taking place. Had such a responsiveness factor persisted during our period, the softening of the budget constraint that we have found above would have had barely any effect upon consumption. However, what </w:t>
      </w:r>
      <w:proofErr w:type="gramStart"/>
      <w:r w:rsidRPr="009A6F08">
        <w:rPr>
          <w:rFonts w:cs="Arial"/>
          <w:lang w:val="en-GB"/>
        </w:rPr>
        <w:t>actually happened</w:t>
      </w:r>
      <w:proofErr w:type="gramEnd"/>
      <w:r w:rsidRPr="009A6F08">
        <w:rPr>
          <w:rFonts w:cs="Arial"/>
          <w:lang w:val="en-GB"/>
        </w:rPr>
        <w:t xml:space="preserve"> is that the responsiveness factor came to be much higher. Consumers not only improved their economic capacity to buy milk, but also became more favourably oriented towards milk consumption.</w:t>
      </w:r>
    </w:p>
    <w:p w14:paraId="5ED3E983" w14:textId="77777777" w:rsidR="00C60CA9" w:rsidRPr="009A6F08" w:rsidRDefault="00C60CA9" w:rsidP="00C60CA9">
      <w:pPr>
        <w:spacing w:line="480" w:lineRule="auto"/>
        <w:rPr>
          <w:rFonts w:cs="Arial"/>
          <w:lang w:val="en-GB"/>
        </w:rPr>
      </w:pPr>
    </w:p>
    <w:p w14:paraId="02B2382F" w14:textId="77777777" w:rsidR="00C60CA9" w:rsidRPr="009A6F08" w:rsidRDefault="00C60CA9" w:rsidP="00C60CA9">
      <w:pPr>
        <w:spacing w:line="480" w:lineRule="auto"/>
        <w:jc w:val="center"/>
        <w:rPr>
          <w:rFonts w:cs="Arial"/>
          <w:lang w:val="en-GB"/>
        </w:rPr>
      </w:pPr>
      <w:r w:rsidRPr="009A6F08">
        <w:rPr>
          <w:rFonts w:cs="Arial"/>
          <w:lang w:val="en-GB"/>
        </w:rPr>
        <w:t>[FIGURE 3]</w:t>
      </w:r>
    </w:p>
    <w:p w14:paraId="0A2224A4" w14:textId="77777777" w:rsidR="00C60CA9" w:rsidRPr="009A6F08" w:rsidRDefault="00C60CA9" w:rsidP="00C60CA9">
      <w:pPr>
        <w:spacing w:line="480" w:lineRule="auto"/>
        <w:rPr>
          <w:rFonts w:cs="Arial"/>
          <w:lang w:val="en-GB"/>
        </w:rPr>
      </w:pPr>
    </w:p>
    <w:p w14:paraId="5AE45895" w14:textId="77777777" w:rsidR="00C60CA9" w:rsidRPr="009A6F08" w:rsidRDefault="00C60CA9" w:rsidP="00C60CA9">
      <w:pPr>
        <w:spacing w:line="480" w:lineRule="auto"/>
        <w:ind w:firstLine="709"/>
        <w:rPr>
          <w:rFonts w:cs="Arial"/>
          <w:lang w:val="en-GB"/>
        </w:rPr>
      </w:pPr>
      <w:r w:rsidRPr="009A6F08">
        <w:rPr>
          <w:rFonts w:cs="Arial"/>
          <w:lang w:val="en-GB"/>
        </w:rPr>
        <w:t xml:space="preserve">A social and territorial disaggregation does not suggest much about the making of this higher responsiveness factor. The responsiveness factors of income groups and provinces follow a </w:t>
      </w:r>
      <w:proofErr w:type="gramStart"/>
      <w:r w:rsidRPr="009A6F08">
        <w:rPr>
          <w:rFonts w:cs="Arial"/>
          <w:lang w:val="en-GB"/>
        </w:rPr>
        <w:t>fairly conventional</w:t>
      </w:r>
      <w:proofErr w:type="gramEnd"/>
      <w:r w:rsidRPr="009A6F08">
        <w:rPr>
          <w:rFonts w:cs="Arial"/>
          <w:lang w:val="en-GB"/>
        </w:rPr>
        <w:t xml:space="preserve"> life cycle curve: as figure 4 shows, those income groups and provinces that had higher initial levels of consumption tended to be less responsive than those other groups and provinces for which the product life cycle was at an earlier stage. The problem is that this </w:t>
      </w:r>
      <w:r w:rsidRPr="009A6F08">
        <w:rPr>
          <w:rFonts w:cs="Arial"/>
          <w:lang w:val="en-GB"/>
        </w:rPr>
        <w:lastRenderedPageBreak/>
        <w:t xml:space="preserve">cross-section pattern cannot help us at answering the longitudinal question of why then the aggregate responsiveness factors of 1964-73 or even 1973-80 were higher than those of 1958-64, when consumption was </w:t>
      </w:r>
      <w:proofErr w:type="gramStart"/>
      <w:r w:rsidRPr="009A6F08">
        <w:rPr>
          <w:rFonts w:cs="Arial"/>
          <w:lang w:val="en-GB"/>
        </w:rPr>
        <w:t>actually much</w:t>
      </w:r>
      <w:proofErr w:type="gramEnd"/>
      <w:r w:rsidRPr="009A6F08">
        <w:rPr>
          <w:rFonts w:cs="Arial"/>
          <w:lang w:val="en-GB"/>
        </w:rPr>
        <w:t xml:space="preserve"> lower in the latter period.</w:t>
      </w:r>
    </w:p>
    <w:p w14:paraId="05273506" w14:textId="77777777" w:rsidR="00C60CA9" w:rsidRPr="009A6F08" w:rsidRDefault="00C60CA9" w:rsidP="00C60CA9">
      <w:pPr>
        <w:spacing w:line="480" w:lineRule="auto"/>
        <w:rPr>
          <w:rFonts w:cs="Arial"/>
          <w:lang w:val="en-GB"/>
        </w:rPr>
      </w:pPr>
    </w:p>
    <w:p w14:paraId="4C29D6C2" w14:textId="77777777" w:rsidR="00C60CA9" w:rsidRPr="009A6F08" w:rsidRDefault="00C60CA9" w:rsidP="00C60CA9">
      <w:pPr>
        <w:spacing w:line="480" w:lineRule="auto"/>
        <w:jc w:val="center"/>
        <w:rPr>
          <w:rFonts w:cs="Arial"/>
          <w:lang w:val="en-GB"/>
        </w:rPr>
      </w:pPr>
      <w:r w:rsidRPr="009A6F08">
        <w:rPr>
          <w:rFonts w:cs="Arial"/>
          <w:lang w:val="en-GB"/>
        </w:rPr>
        <w:t>[FIGURE 4]</w:t>
      </w:r>
    </w:p>
    <w:p w14:paraId="7C20B76D" w14:textId="77777777" w:rsidR="00C60CA9" w:rsidRPr="009A6F08" w:rsidRDefault="00C60CA9" w:rsidP="00C60CA9">
      <w:pPr>
        <w:spacing w:line="480" w:lineRule="auto"/>
        <w:rPr>
          <w:rFonts w:cs="Arial"/>
          <w:lang w:val="en-GB"/>
        </w:rPr>
      </w:pPr>
    </w:p>
    <w:p w14:paraId="0E29C078" w14:textId="77777777" w:rsidR="00C60CA9" w:rsidRPr="009A6F08" w:rsidRDefault="00C60CA9" w:rsidP="00C60CA9">
      <w:pPr>
        <w:spacing w:line="480" w:lineRule="auto"/>
        <w:ind w:firstLine="709"/>
        <w:rPr>
          <w:rFonts w:cs="Arial"/>
          <w:lang w:val="en-GB"/>
        </w:rPr>
      </w:pPr>
      <w:r w:rsidRPr="009A6F08">
        <w:rPr>
          <w:rFonts w:cs="Arial"/>
          <w:lang w:val="en-GB"/>
        </w:rPr>
        <w:t xml:space="preserve">The interesting disaggregation is the one that we can perform according to the type of milk that was consumed. If we abandon the assumption of milk as a homogenous good, we find an enormous difference between the responsiveness factor of raw and processed milk (table 6). The responsiveness factors of raw milk are negative and increasingly so. Processed milk, on the contrary, had attached a very high responsiveness factor at the start of the period. </w:t>
      </w:r>
      <w:proofErr w:type="gramStart"/>
      <w:r w:rsidRPr="009A6F08">
        <w:rPr>
          <w:rFonts w:cs="Arial"/>
          <w:lang w:val="en-GB"/>
        </w:rPr>
        <w:t>Actually, the</w:t>
      </w:r>
      <w:proofErr w:type="gramEnd"/>
      <w:r w:rsidRPr="009A6F08">
        <w:rPr>
          <w:rFonts w:cs="Arial"/>
          <w:lang w:val="en-GB"/>
        </w:rPr>
        <w:t xml:space="preserve"> sharp rise that we find in aggregate consumer responsiveness from the mid-1960s onwards, which apparently suggested a somewhat anomalous product life cycle, results from the conjunction of two conventional life cycles – an early one for raw milk and a later one for processed milk (figure 5). The raw milk cycle had entered the stage of stagnation by the late 1950s, when more than 85 per cent of milk was still consumed raw, but it was not until around one decade later that processed milk began to capture significant shares of the market and it was not until around two decades later that processed milk eventually displaced raw milk as the main type of milk consumed in Spain. This mismatch made the aggregate responsiveness factor fall to very low levels in the late 1950s and early 1960s and created the conditions for the factor to rise again as processed milk led the way to mass consumption from the mid-1960s onwards. </w:t>
      </w:r>
    </w:p>
    <w:p w14:paraId="72C97669" w14:textId="77777777" w:rsidR="00C60CA9" w:rsidRPr="009A6F08" w:rsidRDefault="00C60CA9" w:rsidP="00C60CA9">
      <w:pPr>
        <w:spacing w:line="480" w:lineRule="auto"/>
        <w:rPr>
          <w:rFonts w:cs="Arial"/>
          <w:lang w:val="en-GB"/>
        </w:rPr>
      </w:pPr>
    </w:p>
    <w:p w14:paraId="35D08A8A" w14:textId="77777777" w:rsidR="00C60CA9" w:rsidRPr="009A6F08" w:rsidRDefault="00C60CA9" w:rsidP="00C60CA9">
      <w:pPr>
        <w:spacing w:line="480" w:lineRule="auto"/>
        <w:jc w:val="center"/>
        <w:rPr>
          <w:rFonts w:cs="Arial"/>
          <w:lang w:val="en-GB"/>
        </w:rPr>
      </w:pPr>
      <w:r w:rsidRPr="009A6F08">
        <w:rPr>
          <w:rFonts w:cs="Arial"/>
          <w:lang w:val="en-GB"/>
        </w:rPr>
        <w:t>[TABLE 6]</w:t>
      </w:r>
    </w:p>
    <w:p w14:paraId="1C5F954B" w14:textId="77777777" w:rsidR="00C60CA9" w:rsidRPr="009A6F08" w:rsidRDefault="00C60CA9" w:rsidP="00C60CA9">
      <w:pPr>
        <w:spacing w:line="480" w:lineRule="auto"/>
        <w:jc w:val="center"/>
        <w:rPr>
          <w:rFonts w:cs="Arial"/>
          <w:lang w:val="en-GB"/>
        </w:rPr>
      </w:pPr>
      <w:r w:rsidRPr="009A6F08">
        <w:rPr>
          <w:rFonts w:cs="Arial"/>
          <w:lang w:val="en-GB"/>
        </w:rPr>
        <w:t>[FIGURE 5]</w:t>
      </w:r>
    </w:p>
    <w:p w14:paraId="19EF2AD3" w14:textId="77777777" w:rsidR="00C60CA9" w:rsidRPr="009A6F08" w:rsidRDefault="00C60CA9" w:rsidP="00C60CA9">
      <w:pPr>
        <w:spacing w:line="480" w:lineRule="auto"/>
        <w:rPr>
          <w:rFonts w:cs="Arial"/>
          <w:lang w:val="en-GB"/>
        </w:rPr>
      </w:pPr>
    </w:p>
    <w:p w14:paraId="074AAC8F" w14:textId="77777777" w:rsidR="00C60CA9" w:rsidRPr="009A6F08" w:rsidRDefault="00C60CA9" w:rsidP="00C60CA9">
      <w:pPr>
        <w:spacing w:line="480" w:lineRule="auto"/>
        <w:ind w:firstLine="708"/>
        <w:rPr>
          <w:rFonts w:cs="Arial"/>
          <w:b/>
          <w:lang w:val="en-GB"/>
        </w:rPr>
      </w:pPr>
    </w:p>
    <w:p w14:paraId="56CA9D80" w14:textId="77777777" w:rsidR="00C60CA9" w:rsidRPr="009A6F08" w:rsidRDefault="00C60CA9" w:rsidP="00C60CA9">
      <w:pPr>
        <w:spacing w:line="480" w:lineRule="auto"/>
        <w:rPr>
          <w:rFonts w:cs="Arial"/>
          <w:b/>
          <w:lang w:val="en-GB"/>
        </w:rPr>
      </w:pPr>
      <w:r w:rsidRPr="009A6F08">
        <w:rPr>
          <w:rFonts w:cs="Arial"/>
          <w:b/>
          <w:lang w:val="en-GB"/>
        </w:rPr>
        <w:t>V</w:t>
      </w:r>
    </w:p>
    <w:p w14:paraId="36091024" w14:textId="77777777" w:rsidR="00C60CA9" w:rsidRPr="009A6F08" w:rsidRDefault="00C60CA9" w:rsidP="00C60CA9">
      <w:pPr>
        <w:spacing w:line="480" w:lineRule="auto"/>
        <w:ind w:firstLine="709"/>
        <w:rPr>
          <w:rFonts w:cs="Arial"/>
          <w:lang w:val="en-GB"/>
        </w:rPr>
      </w:pPr>
    </w:p>
    <w:p w14:paraId="14BD0A59" w14:textId="77777777" w:rsidR="00C60CA9" w:rsidRPr="009A6F08" w:rsidRDefault="00C60CA9" w:rsidP="00C60CA9">
      <w:pPr>
        <w:spacing w:line="480" w:lineRule="auto"/>
        <w:ind w:firstLine="709"/>
        <w:rPr>
          <w:rFonts w:cs="Arial"/>
          <w:lang w:val="en-GB"/>
        </w:rPr>
      </w:pPr>
      <w:r w:rsidRPr="009A6F08">
        <w:rPr>
          <w:rFonts w:cs="Arial"/>
          <w:lang w:val="en-GB"/>
        </w:rPr>
        <w:t>It is time now to discuss the evidence presented in the previous section. In line with the mesoeconomic interpretations that have been dominating the debate lately, there seems to be a case for arguing that food industrialization was crucial for diet change. However, the main contribution of food industrialization was not of a quantitative, price-related nature (as is claimed by this literature), but of a qualitative, preferences-related nature. The argument that follows considers successively the quantitative and the qualitative dimensions of diet change.</w:t>
      </w:r>
    </w:p>
    <w:p w14:paraId="3342C6EF" w14:textId="77777777" w:rsidR="00C60CA9" w:rsidRPr="009A6F08" w:rsidRDefault="00C60CA9" w:rsidP="00C60CA9">
      <w:pPr>
        <w:spacing w:line="480" w:lineRule="auto"/>
        <w:ind w:firstLine="709"/>
        <w:rPr>
          <w:rFonts w:cs="Arial"/>
          <w:lang w:val="en-GB"/>
        </w:rPr>
      </w:pPr>
      <w:r w:rsidRPr="009A6F08">
        <w:rPr>
          <w:rFonts w:cs="Arial"/>
          <w:lang w:val="en-GB"/>
        </w:rPr>
        <w:t xml:space="preserve">On purely quantitative grounds, there is more life in the macroeconomic interpretation of the nutritional transition than is usually acknowledged in the increasingly influential mesoeconomic accounts. This is so at least in the study case chosen here. From a macroeconomic perspective, Spain was one of the fastest-growing countries in the West during this period, especially in the early part of it (which, as we have seen, was the key moment for the massification of dairy consumption). This was also a period in which inequality in income distribution decreased. In consequence, most households experienced a rapid increase in income, which allowed for a major revolution in consumption patterns. Food, taken as a whole, lost importance within household budgets and, for the first time ever, the expenditure in goods and services that were not directly related </w:t>
      </w:r>
      <w:r w:rsidRPr="009A6F08">
        <w:rPr>
          <w:rFonts w:cs="Arial"/>
          <w:lang w:val="en-GB"/>
        </w:rPr>
        <w:lastRenderedPageBreak/>
        <w:t>to the satisfaction of basic needs became significant. It was precisely then when Spanish social scientists started to talk about the making of a ‘consumer society’ – probably an imprecise expression from a historical point of view, but very revealing of the intensity with which contemporaries experienced these transformations.</w:t>
      </w:r>
      <w:r w:rsidRPr="009A6F08">
        <w:rPr>
          <w:rStyle w:val="Refdenotaalpie"/>
          <w:rFonts w:cs="Arial"/>
          <w:lang w:val="en-GB"/>
        </w:rPr>
        <w:footnoteReference w:id="41"/>
      </w:r>
    </w:p>
    <w:p w14:paraId="23D6870F" w14:textId="77777777" w:rsidR="00C60CA9" w:rsidRPr="009A6F08" w:rsidRDefault="00C60CA9" w:rsidP="00C60CA9">
      <w:pPr>
        <w:spacing w:line="480" w:lineRule="auto"/>
        <w:ind w:firstLine="709"/>
        <w:rPr>
          <w:rFonts w:cs="Arial"/>
          <w:lang w:val="en-GB"/>
        </w:rPr>
      </w:pPr>
      <w:r w:rsidRPr="009A6F08">
        <w:rPr>
          <w:rFonts w:cs="Arial"/>
          <w:lang w:val="en-GB"/>
        </w:rPr>
        <w:t>In comparison with these changes in the macroeconomic sphere, the mesoeconomic changes at the food system level were not so profound, at least when it comes to their impact on the price of dairy products. It is true that the price perceived by dairy farmers fell early and steadily (table 7). This was related to technological upgrading, especially through biological innovations such as the substitution of autochthonous breeds by Frisian, high-yield cows.</w:t>
      </w:r>
      <w:r w:rsidRPr="009A6F08">
        <w:rPr>
          <w:rStyle w:val="Refdenotaalpie"/>
          <w:rFonts w:cs="Arial"/>
          <w:lang w:val="en-GB"/>
        </w:rPr>
        <w:footnoteReference w:id="42"/>
      </w:r>
      <w:r w:rsidRPr="009A6F08">
        <w:rPr>
          <w:rFonts w:cs="Arial"/>
          <w:lang w:val="en-GB"/>
        </w:rPr>
        <w:t xml:space="preserve"> Lower farmer prices, however, did not translate automatically into lower consumer prices. Until around the mid-1970s, the sum of the costs and profits added by dairy processors and commercial intermediaries </w:t>
      </w:r>
      <w:proofErr w:type="gramStart"/>
      <w:r w:rsidRPr="009A6F08">
        <w:rPr>
          <w:rFonts w:cs="Arial"/>
          <w:lang w:val="en-GB"/>
        </w:rPr>
        <w:t>actually increased</w:t>
      </w:r>
      <w:proofErr w:type="gramEnd"/>
      <w:r w:rsidRPr="009A6F08">
        <w:rPr>
          <w:rFonts w:cs="Arial"/>
          <w:lang w:val="en-GB"/>
        </w:rPr>
        <w:t>, which more than cancelled out the effect of decreasing farmer prices upon consumer prices.</w:t>
      </w:r>
    </w:p>
    <w:p w14:paraId="780801D1" w14:textId="77777777" w:rsidR="00C60CA9" w:rsidRPr="009A6F08" w:rsidRDefault="00C60CA9" w:rsidP="00C60CA9">
      <w:pPr>
        <w:spacing w:line="480" w:lineRule="auto"/>
        <w:rPr>
          <w:rFonts w:cs="Arial"/>
          <w:lang w:val="en-GB"/>
        </w:rPr>
      </w:pPr>
    </w:p>
    <w:p w14:paraId="663AB80B" w14:textId="77777777" w:rsidR="00C60CA9" w:rsidRPr="009A6F08" w:rsidRDefault="00C60CA9" w:rsidP="00C60CA9">
      <w:pPr>
        <w:spacing w:line="480" w:lineRule="auto"/>
        <w:jc w:val="center"/>
        <w:rPr>
          <w:rFonts w:cs="Arial"/>
          <w:lang w:val="en-GB"/>
        </w:rPr>
      </w:pPr>
      <w:r w:rsidRPr="009A6F08">
        <w:rPr>
          <w:rFonts w:cs="Arial"/>
          <w:lang w:val="en-GB"/>
        </w:rPr>
        <w:t>[TABLE 7]</w:t>
      </w:r>
    </w:p>
    <w:p w14:paraId="75B3676B" w14:textId="77777777" w:rsidR="00C60CA9" w:rsidRPr="009A6F08" w:rsidRDefault="00C60CA9" w:rsidP="00C60CA9">
      <w:pPr>
        <w:spacing w:line="480" w:lineRule="auto"/>
        <w:rPr>
          <w:rFonts w:cs="Arial"/>
          <w:lang w:val="en-US"/>
        </w:rPr>
      </w:pPr>
    </w:p>
    <w:p w14:paraId="7E936383" w14:textId="77777777" w:rsidR="00C60CA9" w:rsidRPr="009A6F08" w:rsidRDefault="00C60CA9" w:rsidP="00C60CA9">
      <w:pPr>
        <w:spacing w:line="480" w:lineRule="auto"/>
        <w:ind w:firstLine="709"/>
        <w:rPr>
          <w:rFonts w:cs="Arial"/>
          <w:lang w:val="en-GB"/>
        </w:rPr>
      </w:pPr>
      <w:r w:rsidRPr="009A6F08">
        <w:rPr>
          <w:rFonts w:cs="Arial"/>
          <w:lang w:val="en-GB"/>
        </w:rPr>
        <w:t xml:space="preserve">It is not possible to provide here a full analysis of the causes, but they seem to be related to the structural problems that pervaded the articulation of a modern dairy chain in Spain. Most processing plants were too small to seize scale economies properly. Moreover, for much of the year many of them were operating </w:t>
      </w:r>
      <w:r w:rsidRPr="009A6F08">
        <w:rPr>
          <w:rFonts w:cs="Arial"/>
          <w:lang w:val="en-GB"/>
        </w:rPr>
        <w:lastRenderedPageBreak/>
        <w:t>well below their potential capacity.</w:t>
      </w:r>
      <w:r w:rsidRPr="009A6F08">
        <w:rPr>
          <w:rStyle w:val="Refdenotaalpie"/>
          <w:rFonts w:cs="Arial"/>
          <w:lang w:val="en-GB"/>
        </w:rPr>
        <w:footnoteReference w:id="43"/>
      </w:r>
      <w:r w:rsidRPr="009A6F08">
        <w:rPr>
          <w:rFonts w:cs="Arial"/>
          <w:lang w:val="en-GB"/>
        </w:rPr>
        <w:t xml:space="preserve"> Furthermore, the State policy of licensing local monopolies was distorting the economic geography of the dairy chain, favouring the proliferation of processing plants in territories where dairy farming was weak.</w:t>
      </w:r>
      <w:r w:rsidRPr="009A6F08">
        <w:rPr>
          <w:rStyle w:val="Refdenotaalpie"/>
          <w:rFonts w:cs="Arial"/>
          <w:lang w:val="en-GB"/>
        </w:rPr>
        <w:footnoteReference w:id="44"/>
      </w:r>
      <w:r w:rsidRPr="009A6F08">
        <w:rPr>
          <w:rFonts w:cs="Arial"/>
          <w:lang w:val="en-GB"/>
        </w:rPr>
        <w:t xml:space="preserve"> Finally, the successful revision of dairy policy that took place in 1966 was successful precisely because it allowed for a rise in the profitability of dairy processing. During the previous decade and a half, the price transmission chain fixed by the State had implied profit rates that were too low and after 1966 the State tried to stimulate investment in dairy processing by fixing price bands that were more favourable to processors.</w:t>
      </w:r>
      <w:r w:rsidRPr="009A6F08">
        <w:rPr>
          <w:rStyle w:val="Refdenotaalpie"/>
          <w:rFonts w:cs="Arial"/>
          <w:lang w:val="en-GB"/>
        </w:rPr>
        <w:footnoteReference w:id="45"/>
      </w:r>
    </w:p>
    <w:p w14:paraId="775D8B4D" w14:textId="77777777" w:rsidR="00C60CA9" w:rsidRPr="009A6F08" w:rsidRDefault="00C60CA9" w:rsidP="00C60CA9">
      <w:pPr>
        <w:spacing w:line="480" w:lineRule="auto"/>
        <w:ind w:firstLine="709"/>
        <w:rPr>
          <w:rFonts w:cs="Arial"/>
          <w:lang w:val="en-GB"/>
        </w:rPr>
      </w:pPr>
      <w:r w:rsidRPr="009A6F08">
        <w:rPr>
          <w:rFonts w:cs="Arial"/>
          <w:lang w:val="en-GB"/>
        </w:rPr>
        <w:t xml:space="preserve">It </w:t>
      </w:r>
      <w:proofErr w:type="gramStart"/>
      <w:r w:rsidRPr="009A6F08">
        <w:rPr>
          <w:rFonts w:cs="Arial"/>
          <w:lang w:val="en-GB"/>
        </w:rPr>
        <w:t>has to</w:t>
      </w:r>
      <w:proofErr w:type="gramEnd"/>
      <w:r w:rsidRPr="009A6F08">
        <w:rPr>
          <w:rFonts w:cs="Arial"/>
          <w:lang w:val="en-GB"/>
        </w:rPr>
        <w:t xml:space="preserve"> be noted that, alongside these processing-related issues, there were remarkable commercialization costs, both upstream and downstream from the processing plants. Upstream, the cost of collecting raw milk, an activity that was only very partially internalized by processors, was among the highest in Europe because the collection networks were very fragmented due to the presence of a large number of small farms, many of them located in remote areas in the country’s northernmost region.</w:t>
      </w:r>
      <w:r w:rsidRPr="009A6F08">
        <w:rPr>
          <w:rStyle w:val="Refdenotaalpie"/>
          <w:rFonts w:cs="Arial"/>
          <w:lang w:val="en-GB"/>
        </w:rPr>
        <w:footnoteReference w:id="46"/>
      </w:r>
      <w:r w:rsidRPr="009A6F08">
        <w:rPr>
          <w:rFonts w:cs="Arial"/>
          <w:lang w:val="en-GB"/>
        </w:rPr>
        <w:t xml:space="preserve"> Downstream, there was much fragmentation in retailing too – small family businesses prevailed with little capacity to exert a substantial downward pressure on consumer prices.</w:t>
      </w:r>
      <w:r w:rsidRPr="009A6F08">
        <w:rPr>
          <w:rStyle w:val="Refdenotaalpie"/>
          <w:rFonts w:cs="Arial"/>
          <w:lang w:val="en-GB"/>
        </w:rPr>
        <w:footnoteReference w:id="47"/>
      </w:r>
    </w:p>
    <w:p w14:paraId="5AB60CC5" w14:textId="77777777" w:rsidR="00C60CA9" w:rsidRPr="009A6F08" w:rsidRDefault="00C60CA9" w:rsidP="00C60CA9">
      <w:pPr>
        <w:spacing w:line="480" w:lineRule="auto"/>
        <w:ind w:firstLine="709"/>
        <w:rPr>
          <w:rFonts w:cs="Arial"/>
          <w:lang w:val="en-GB"/>
        </w:rPr>
      </w:pPr>
      <w:r w:rsidRPr="009A6F08">
        <w:rPr>
          <w:rFonts w:cs="Arial"/>
          <w:lang w:val="en-GB"/>
        </w:rPr>
        <w:t xml:space="preserve">Of course, there was some gradual mitigation of these structural problems, especially from the mid-1970s onwards. The creation and expansion of the first supermarket and hypermarket chains generated large efficiency gains that had </w:t>
      </w:r>
      <w:r w:rsidRPr="009A6F08">
        <w:rPr>
          <w:rFonts w:cs="Arial"/>
          <w:lang w:val="en-GB"/>
        </w:rPr>
        <w:lastRenderedPageBreak/>
        <w:t xml:space="preserve">an important impact on consumer prices. Moroever, large retailers quickly positioned milk as a hook product: they set extraordinarily low prices </w:t>
      </w:r>
      <w:proofErr w:type="gramStart"/>
      <w:r w:rsidRPr="009A6F08">
        <w:rPr>
          <w:rFonts w:cs="Arial"/>
          <w:lang w:val="en-GB"/>
        </w:rPr>
        <w:t>in order to</w:t>
      </w:r>
      <w:proofErr w:type="gramEnd"/>
      <w:r w:rsidRPr="009A6F08">
        <w:rPr>
          <w:rFonts w:cs="Arial"/>
          <w:lang w:val="en-GB"/>
        </w:rPr>
        <w:t xml:space="preserve"> attract consumers to their shops. In a way that remained perfectly legal until 1996, supermarkets often sold milk at below-cost prices.</w:t>
      </w:r>
      <w:r w:rsidRPr="009A6F08">
        <w:rPr>
          <w:rStyle w:val="Refdenotaalpie"/>
          <w:rFonts w:cs="Arial"/>
          <w:lang w:val="en-GB"/>
        </w:rPr>
        <w:footnoteReference w:id="48"/>
      </w:r>
      <w:r w:rsidRPr="009A6F08">
        <w:rPr>
          <w:rFonts w:cs="Arial"/>
          <w:lang w:val="en-GB"/>
        </w:rPr>
        <w:t xml:space="preserve"> In the area of milk processing, in turn, plants and companies became larger </w:t>
      </w:r>
      <w:proofErr w:type="gramStart"/>
      <w:r w:rsidRPr="009A6F08">
        <w:rPr>
          <w:rFonts w:cs="Arial"/>
          <w:lang w:val="en-GB"/>
        </w:rPr>
        <w:t>as a result of</w:t>
      </w:r>
      <w:proofErr w:type="gramEnd"/>
      <w:r w:rsidRPr="009A6F08">
        <w:rPr>
          <w:rFonts w:cs="Arial"/>
          <w:lang w:val="en-GB"/>
        </w:rPr>
        <w:t xml:space="preserve"> mergers, takeovers and internal expansion strategies. Moreover, the gradual orientation of both processors and consumers towards long-life, UHT (ultra-high temperature) milk increased the competitive pressure within the industry. One major reason for this was that the production of UHT milk was not subject to the restrictions to inter-firm competition (for instance, local-level production licences) that structured the supply of pasteurized milk.</w:t>
      </w:r>
      <w:r w:rsidRPr="009A6F08">
        <w:rPr>
          <w:rStyle w:val="Refdenotaalpie"/>
          <w:rFonts w:cs="Arial"/>
          <w:lang w:val="en-GB"/>
        </w:rPr>
        <w:footnoteReference w:id="49"/>
      </w:r>
    </w:p>
    <w:p w14:paraId="1514CEE4" w14:textId="77777777" w:rsidR="00C60CA9" w:rsidRPr="009A6F08" w:rsidRDefault="00C60CA9" w:rsidP="00C60CA9">
      <w:pPr>
        <w:spacing w:line="480" w:lineRule="auto"/>
        <w:ind w:firstLine="709"/>
        <w:rPr>
          <w:rFonts w:cs="Arial"/>
          <w:lang w:val="en-GB"/>
        </w:rPr>
      </w:pPr>
      <w:r w:rsidRPr="009A6F08">
        <w:rPr>
          <w:rFonts w:cs="Arial"/>
          <w:lang w:val="en-GB"/>
        </w:rPr>
        <w:t xml:space="preserve">By the time retailers and processors had entered this stage, however, the great expansion of dairy consumption was over. In fact, it has been suggested along Schumpeterian lines that it was precisely the de-acceleration of demand what led the dairy chain towards a long phase of restructuring around an </w:t>
      </w:r>
      <w:proofErr w:type="gramStart"/>
      <w:r w:rsidRPr="009A6F08">
        <w:rPr>
          <w:rFonts w:cs="Arial"/>
          <w:lang w:val="en-GB"/>
        </w:rPr>
        <w:t>ever smaller</w:t>
      </w:r>
      <w:proofErr w:type="gramEnd"/>
      <w:r w:rsidRPr="009A6F08">
        <w:rPr>
          <w:rFonts w:cs="Arial"/>
          <w:lang w:val="en-GB"/>
        </w:rPr>
        <w:t xml:space="preserve"> number of large-size business units and farms.</w:t>
      </w:r>
      <w:r w:rsidRPr="009A6F08">
        <w:rPr>
          <w:rStyle w:val="Refdenotaalpie"/>
          <w:rFonts w:cs="Arial"/>
          <w:lang w:val="en-GB"/>
        </w:rPr>
        <w:footnoteReference w:id="50"/>
      </w:r>
      <w:r w:rsidRPr="009A6F08">
        <w:rPr>
          <w:rFonts w:cs="Arial"/>
          <w:lang w:val="en-GB"/>
        </w:rPr>
        <w:t xml:space="preserve"> The dairy chain did not generate remarkable price reductions while the pressure of demand was high. It did so only when said pressure began to loosen. Furthermore, </w:t>
      </w:r>
      <w:proofErr w:type="gramStart"/>
      <w:r w:rsidRPr="009A6F08">
        <w:rPr>
          <w:rFonts w:cs="Arial"/>
          <w:lang w:val="en-GB"/>
        </w:rPr>
        <w:t>it is interesting to see that the</w:t>
      </w:r>
      <w:proofErr w:type="gramEnd"/>
      <w:r w:rsidRPr="009A6F08">
        <w:rPr>
          <w:rFonts w:cs="Arial"/>
          <w:lang w:val="en-GB"/>
        </w:rPr>
        <w:t xml:space="preserve"> eventual reduction in consumer prices was possible in spite of, and not because of, the evolution of costs and profits in the dairy processing industry (table 7 above). Put briefly, the consumer price of milk needed some time to decline and, when it eventually did, the cause was not dairy industrialization.</w:t>
      </w:r>
    </w:p>
    <w:p w14:paraId="5A51B4D4" w14:textId="77777777" w:rsidR="00C60CA9" w:rsidRPr="009A6F08" w:rsidRDefault="00C60CA9" w:rsidP="00C60CA9">
      <w:pPr>
        <w:spacing w:line="480" w:lineRule="auto"/>
        <w:ind w:firstLine="709"/>
        <w:rPr>
          <w:rFonts w:cs="Arial"/>
          <w:lang w:val="en-GB"/>
        </w:rPr>
      </w:pPr>
      <w:r w:rsidRPr="009A6F08">
        <w:rPr>
          <w:rFonts w:cs="Arial"/>
          <w:lang w:val="en-GB"/>
        </w:rPr>
        <w:lastRenderedPageBreak/>
        <w:t xml:space="preserve">The crucial contribution made by dairy industrialization did not have to do with prices, but with consumer trust. Processors were </w:t>
      </w:r>
      <w:proofErr w:type="gramStart"/>
      <w:r w:rsidRPr="009A6F08">
        <w:rPr>
          <w:rFonts w:cs="Arial"/>
          <w:lang w:val="en-GB"/>
        </w:rPr>
        <w:t>actually producing</w:t>
      </w:r>
      <w:proofErr w:type="gramEnd"/>
      <w:r w:rsidRPr="009A6F08">
        <w:rPr>
          <w:rFonts w:cs="Arial"/>
          <w:lang w:val="en-GB"/>
        </w:rPr>
        <w:t xml:space="preserve"> a commodity that was substantially (some 20-25 per cent) more expensive than the substitutive good that consumers had available – raw milk.</w:t>
      </w:r>
      <w:r w:rsidRPr="009A6F08">
        <w:rPr>
          <w:rStyle w:val="Refdenotaalpie"/>
          <w:rFonts w:cs="Arial"/>
          <w:lang w:val="en-GB"/>
        </w:rPr>
        <w:footnoteReference w:id="51"/>
      </w:r>
      <w:r w:rsidRPr="009A6F08">
        <w:rPr>
          <w:rFonts w:cs="Arial"/>
          <w:lang w:val="en-GB"/>
        </w:rPr>
        <w:t xml:space="preserve"> And yet, as the evidence on responsiveness factors presented in the previous section suggests, consumers were much more interested in the new, expensive milk than in the traditional, cheaper version. As the period progressed, the consumption of raw milk became more and more circumscribed to low-income groups, while most consumers seemed more than willing to pay a quality premium for processed milk (figure 6).</w:t>
      </w:r>
    </w:p>
    <w:p w14:paraId="0B93051B" w14:textId="77777777" w:rsidR="00C60CA9" w:rsidRPr="009A6F08" w:rsidRDefault="00C60CA9" w:rsidP="00C60CA9">
      <w:pPr>
        <w:spacing w:line="480" w:lineRule="auto"/>
        <w:rPr>
          <w:rFonts w:cs="Arial"/>
          <w:lang w:val="en-GB"/>
        </w:rPr>
      </w:pPr>
    </w:p>
    <w:p w14:paraId="2237995A" w14:textId="77777777" w:rsidR="00C60CA9" w:rsidRPr="009A6F08" w:rsidRDefault="00C60CA9" w:rsidP="00C60CA9">
      <w:pPr>
        <w:spacing w:line="480" w:lineRule="auto"/>
        <w:jc w:val="center"/>
        <w:rPr>
          <w:rFonts w:cs="Arial"/>
          <w:lang w:val="en-GB"/>
        </w:rPr>
      </w:pPr>
      <w:r w:rsidRPr="009A6F08">
        <w:rPr>
          <w:rFonts w:cs="Arial"/>
          <w:lang w:val="en-GB"/>
        </w:rPr>
        <w:t>[FIGURE 6]</w:t>
      </w:r>
    </w:p>
    <w:p w14:paraId="4A02E28B" w14:textId="77777777" w:rsidR="00C60CA9" w:rsidRPr="009A6F08" w:rsidRDefault="00C60CA9" w:rsidP="00C60CA9">
      <w:pPr>
        <w:spacing w:line="480" w:lineRule="auto"/>
        <w:rPr>
          <w:rFonts w:cs="Arial"/>
          <w:lang w:val="en-GB"/>
        </w:rPr>
      </w:pPr>
    </w:p>
    <w:p w14:paraId="6BB9C7F5" w14:textId="77777777" w:rsidR="00C60CA9" w:rsidRPr="009A6F08" w:rsidRDefault="00C60CA9" w:rsidP="00C60CA9">
      <w:pPr>
        <w:spacing w:line="480" w:lineRule="auto"/>
        <w:ind w:firstLine="709"/>
        <w:rPr>
          <w:rFonts w:cs="Arial"/>
          <w:lang w:val="en-GB"/>
        </w:rPr>
      </w:pPr>
      <w:r w:rsidRPr="009A6F08">
        <w:rPr>
          <w:rFonts w:cs="Arial"/>
          <w:lang w:val="en-GB"/>
        </w:rPr>
        <w:t xml:space="preserve">According to many testimonies, processed milk was widely perceived as qualitatively superior to raw milk because it was more reliable. At the start of the period, in the early 1960s, consumers were </w:t>
      </w:r>
      <w:proofErr w:type="gramStart"/>
      <w:r w:rsidRPr="009A6F08">
        <w:rPr>
          <w:rFonts w:cs="Arial"/>
          <w:lang w:val="en-GB"/>
        </w:rPr>
        <w:t>well aware</w:t>
      </w:r>
      <w:proofErr w:type="gramEnd"/>
      <w:r w:rsidRPr="009A6F08">
        <w:rPr>
          <w:rFonts w:cs="Arial"/>
          <w:lang w:val="en-GB"/>
        </w:rPr>
        <w:t xml:space="preserve"> of the health benefits of drinking milk, which were insistently voiced by both physicians and State-led promotional campaigns. However, most milk available for purchase was raw milk, and consumer trust in raw milk was deteriorated. Frauds, </w:t>
      </w:r>
      <w:proofErr w:type="gramStart"/>
      <w:r w:rsidRPr="009A6F08">
        <w:rPr>
          <w:rFonts w:cs="Arial"/>
          <w:lang w:val="en-GB"/>
        </w:rPr>
        <w:t>adulterations</w:t>
      </w:r>
      <w:proofErr w:type="gramEnd"/>
      <w:r w:rsidRPr="009A6F08">
        <w:rPr>
          <w:rFonts w:cs="Arial"/>
          <w:lang w:val="en-GB"/>
        </w:rPr>
        <w:t xml:space="preserve"> and intoxications were very common in the raw milk chain. As in many other European countries at an earlier date, this was due to the presence of asymmetric information and the weakness of collective and public action when it came to setting quality standards and enforcing anti-fraud legislation.</w:t>
      </w:r>
      <w:r w:rsidRPr="009A6F08">
        <w:rPr>
          <w:rStyle w:val="Refdenotaalpie"/>
          <w:rFonts w:cs="Arial"/>
          <w:lang w:val="en-GB"/>
        </w:rPr>
        <w:footnoteReference w:id="52"/>
      </w:r>
      <w:r w:rsidRPr="009A6F08">
        <w:rPr>
          <w:rFonts w:cs="Arial"/>
          <w:lang w:val="en-GB"/>
        </w:rPr>
        <w:t xml:space="preserve"> In contrast, dairy processors supplied a standardized product that did not entail any health risks </w:t>
      </w:r>
      <w:r w:rsidRPr="009A6F08">
        <w:rPr>
          <w:rFonts w:cs="Arial"/>
          <w:lang w:val="en-GB"/>
        </w:rPr>
        <w:lastRenderedPageBreak/>
        <w:t>and had not been subjected to any fraudulent adulterations. The great contribution of dairy industrialization to the massification of consumption was not making available milk that was particularly cheap, but milk that was trustworthy. This happened only after the mid-1960s, when the growth of Spain’s processing industry made it possible that large quantities of processed milk be for the first time available in all parts of the country.</w:t>
      </w:r>
      <w:r w:rsidRPr="009A6F08">
        <w:rPr>
          <w:rStyle w:val="Refdenotaalpie"/>
          <w:rFonts w:cs="Arial"/>
          <w:lang w:val="en-GB"/>
        </w:rPr>
        <w:footnoteReference w:id="53"/>
      </w:r>
      <w:r w:rsidRPr="009A6F08">
        <w:rPr>
          <w:rFonts w:cs="Arial"/>
          <w:lang w:val="en-GB"/>
        </w:rPr>
        <w:t xml:space="preserve"> </w:t>
      </w:r>
    </w:p>
    <w:p w14:paraId="5138FD8F" w14:textId="77777777" w:rsidR="00C60CA9" w:rsidRPr="009A6F08" w:rsidRDefault="00C60CA9" w:rsidP="00C60CA9">
      <w:pPr>
        <w:spacing w:line="480" w:lineRule="auto"/>
        <w:ind w:firstLine="709"/>
        <w:rPr>
          <w:rFonts w:cs="Arial"/>
          <w:lang w:val="en-GB"/>
        </w:rPr>
      </w:pPr>
      <w:r w:rsidRPr="009A6F08">
        <w:rPr>
          <w:rFonts w:cs="Arial"/>
          <w:lang w:val="en-GB"/>
        </w:rPr>
        <w:t xml:space="preserve">This interpretation is consistent with an analysis of the promotional campaigns launched by dairy processors during the period. In the remainder of this </w:t>
      </w:r>
      <w:proofErr w:type="gramStart"/>
      <w:r w:rsidRPr="009A6F08">
        <w:rPr>
          <w:rFonts w:cs="Arial"/>
          <w:lang w:val="en-GB"/>
        </w:rPr>
        <w:t>paper</w:t>
      </w:r>
      <w:proofErr w:type="gramEnd"/>
      <w:r w:rsidRPr="009A6F08">
        <w:rPr>
          <w:rFonts w:cs="Arial"/>
          <w:lang w:val="en-GB"/>
        </w:rPr>
        <w:t xml:space="preserve"> it is not possible to undertake that analysis in a systematic way, but at least one main message can be presented: quality, defined mostly in terms of security and reliability, was the major theme in the commercial messages that dairy processors sent to their potential consumers. This focus on quality was an attempt on the part of processors to capitalize on consumers’ anxiety about fraud and adulteration as common elements in the experience of consuming raw milk. In the later part of the period, all four dairy processors that made the largest expenditure in advertising, all of them leading brands (with a joint market share close to 40 per cent), placed quality and reliability at the forefront of their public communication strategy (table 8). An exploration of other important brands (some ten brands with a joint market share of about one third) shows that this was a general trend.</w:t>
      </w:r>
      <w:r w:rsidRPr="009A6F08">
        <w:rPr>
          <w:rStyle w:val="Refdenotaalpie"/>
          <w:rFonts w:cs="Arial"/>
          <w:lang w:val="en-GB"/>
        </w:rPr>
        <w:footnoteReference w:id="54"/>
      </w:r>
      <w:r w:rsidRPr="009A6F08">
        <w:rPr>
          <w:rFonts w:cs="Arial"/>
          <w:lang w:val="en-GB"/>
        </w:rPr>
        <w:t xml:space="preserve"> The generic promotional campaigns launched by the State stressed the greater security of drinking processed milk as well.</w:t>
      </w:r>
      <w:r w:rsidRPr="009A6F08">
        <w:rPr>
          <w:rStyle w:val="Refdenotaalpie"/>
          <w:rFonts w:cs="Arial"/>
          <w:lang w:val="en-GB"/>
        </w:rPr>
        <w:footnoteReference w:id="55"/>
      </w:r>
      <w:r w:rsidRPr="009A6F08">
        <w:rPr>
          <w:rFonts w:cs="Arial"/>
          <w:lang w:val="en-GB"/>
        </w:rPr>
        <w:t xml:space="preserve"> The message </w:t>
      </w:r>
      <w:r w:rsidRPr="009A6F08">
        <w:rPr>
          <w:rFonts w:cs="Arial"/>
          <w:lang w:val="en-GB"/>
        </w:rPr>
        <w:lastRenderedPageBreak/>
        <w:t>was further reinforced by complementary initiatives taken by dairy processors on a local scale, such as allowing their plants to be regularly visited by housewives and schoolchildren.</w:t>
      </w:r>
      <w:r w:rsidRPr="009A6F08">
        <w:rPr>
          <w:rStyle w:val="Refdenotaalpie"/>
          <w:rFonts w:cs="Arial"/>
          <w:lang w:val="en-GB"/>
        </w:rPr>
        <w:footnoteReference w:id="56"/>
      </w:r>
    </w:p>
    <w:p w14:paraId="12644506" w14:textId="77777777" w:rsidR="00C60CA9" w:rsidRPr="009A6F08" w:rsidRDefault="00C60CA9" w:rsidP="00C60CA9">
      <w:pPr>
        <w:spacing w:line="480" w:lineRule="auto"/>
        <w:rPr>
          <w:rFonts w:cs="Arial"/>
          <w:lang w:val="en-GB"/>
        </w:rPr>
      </w:pPr>
    </w:p>
    <w:p w14:paraId="2BB8A423" w14:textId="77777777" w:rsidR="00C60CA9" w:rsidRPr="009A6F08" w:rsidRDefault="00C60CA9" w:rsidP="00C60CA9">
      <w:pPr>
        <w:spacing w:line="480" w:lineRule="auto"/>
        <w:jc w:val="center"/>
        <w:rPr>
          <w:rFonts w:cs="Arial"/>
          <w:lang w:val="en-GB"/>
        </w:rPr>
      </w:pPr>
      <w:r w:rsidRPr="009A6F08">
        <w:rPr>
          <w:rFonts w:cs="Arial"/>
          <w:lang w:val="en-GB"/>
        </w:rPr>
        <w:t>[TABLE 8]</w:t>
      </w:r>
    </w:p>
    <w:p w14:paraId="657DABF4" w14:textId="77777777" w:rsidR="00C60CA9" w:rsidRPr="009A6F08" w:rsidRDefault="00C60CA9" w:rsidP="00C60CA9">
      <w:pPr>
        <w:spacing w:line="480" w:lineRule="auto"/>
        <w:rPr>
          <w:rFonts w:cs="Arial"/>
          <w:lang w:val="en-GB"/>
        </w:rPr>
      </w:pPr>
    </w:p>
    <w:p w14:paraId="213A964B" w14:textId="77777777" w:rsidR="00C60CA9" w:rsidRPr="009A6F08" w:rsidRDefault="00C60CA9" w:rsidP="00C60CA9">
      <w:pPr>
        <w:spacing w:line="480" w:lineRule="auto"/>
        <w:ind w:firstLine="709"/>
        <w:rPr>
          <w:rFonts w:cs="Arial"/>
          <w:lang w:val="en-GB"/>
        </w:rPr>
      </w:pPr>
      <w:r w:rsidRPr="009A6F08">
        <w:rPr>
          <w:rFonts w:cs="Arial"/>
          <w:lang w:val="en-GB"/>
        </w:rPr>
        <w:t>Interestingly, this is in contrast with the commercial messages sent by the main yoghurt producers, a relevant control case because none of them was simultaneously involved in milk production. Quality was completely absent from yoghurt advertisements, which were oriented towards stressing health benefits, freshness or the links between yoghurt consumption and self-consciously ‘modern’ lifestyles. Unlike milk, yoghurt had always been an industrial, standardized product that consumers did not associate with fraud, food scares or scandals.</w:t>
      </w:r>
      <w:r w:rsidRPr="009A6F08">
        <w:rPr>
          <w:rStyle w:val="Refdenotaalpie"/>
          <w:rFonts w:cs="Arial"/>
          <w:lang w:val="en-GB"/>
        </w:rPr>
        <w:footnoteReference w:id="57"/>
      </w:r>
    </w:p>
    <w:p w14:paraId="5FA48F3D" w14:textId="77777777" w:rsidR="00C60CA9" w:rsidRPr="009A6F08" w:rsidRDefault="00C60CA9" w:rsidP="00C60CA9">
      <w:pPr>
        <w:spacing w:line="480" w:lineRule="auto"/>
        <w:ind w:firstLine="709"/>
        <w:rPr>
          <w:rFonts w:cs="Arial"/>
          <w:lang w:val="en-GB"/>
        </w:rPr>
      </w:pPr>
      <w:r w:rsidRPr="009A6F08">
        <w:rPr>
          <w:rFonts w:cs="Arial"/>
          <w:lang w:val="en-GB"/>
        </w:rPr>
        <w:t>The ubiquity of quality and trustworthiness in the commercial messages sent by milk processors is consistent with the interpretation proposed here. For a consumer who was aware of the alleged benefits of milk consumption and had an income level way above that of previous generations, the key issue was to overcome the qualitative problems of (raw) milk. Consumers became more receptive to milk because processors made it more trustworthy.</w:t>
      </w:r>
    </w:p>
    <w:p w14:paraId="471808C0" w14:textId="77777777" w:rsidR="00C60CA9" w:rsidRPr="009A6F08" w:rsidRDefault="00C60CA9" w:rsidP="00C60CA9">
      <w:pPr>
        <w:spacing w:line="480" w:lineRule="auto"/>
        <w:ind w:firstLine="709"/>
        <w:rPr>
          <w:rFonts w:cs="Arial"/>
          <w:lang w:val="en-GB"/>
        </w:rPr>
      </w:pPr>
    </w:p>
    <w:p w14:paraId="001495AE" w14:textId="77777777" w:rsidR="00C60CA9" w:rsidRPr="009A6F08" w:rsidRDefault="00C60CA9" w:rsidP="00C60CA9">
      <w:pPr>
        <w:spacing w:line="480" w:lineRule="auto"/>
        <w:rPr>
          <w:rFonts w:cs="Arial"/>
          <w:b/>
          <w:lang w:val="en-GB"/>
        </w:rPr>
      </w:pPr>
    </w:p>
    <w:p w14:paraId="30BEE537" w14:textId="77777777" w:rsidR="00C60CA9" w:rsidRPr="009A6F08" w:rsidRDefault="00C60CA9" w:rsidP="00C60CA9">
      <w:pPr>
        <w:spacing w:line="480" w:lineRule="auto"/>
        <w:rPr>
          <w:rFonts w:cs="Arial"/>
          <w:b/>
          <w:lang w:val="en-GB"/>
        </w:rPr>
      </w:pPr>
      <w:r w:rsidRPr="009A6F08">
        <w:rPr>
          <w:rFonts w:cs="Arial"/>
          <w:b/>
          <w:lang w:val="en-GB"/>
        </w:rPr>
        <w:t>VI</w:t>
      </w:r>
    </w:p>
    <w:p w14:paraId="266C40E1" w14:textId="77777777" w:rsidR="00C60CA9" w:rsidRPr="009A6F08" w:rsidRDefault="00C60CA9" w:rsidP="00C60CA9">
      <w:pPr>
        <w:spacing w:line="480" w:lineRule="auto"/>
        <w:ind w:firstLine="708"/>
        <w:rPr>
          <w:rFonts w:cs="Arial"/>
          <w:b/>
          <w:lang w:val="en-GB"/>
        </w:rPr>
      </w:pPr>
    </w:p>
    <w:p w14:paraId="2201CD4F" w14:textId="77777777" w:rsidR="00C60CA9" w:rsidRPr="009A6F08" w:rsidRDefault="00C60CA9" w:rsidP="00C60CA9">
      <w:pPr>
        <w:spacing w:line="480" w:lineRule="auto"/>
        <w:ind w:firstLine="708"/>
        <w:rPr>
          <w:rFonts w:cs="Arial"/>
          <w:lang w:val="en-GB"/>
        </w:rPr>
      </w:pPr>
      <w:r w:rsidRPr="009A6F08">
        <w:rPr>
          <w:rFonts w:cs="Arial"/>
          <w:lang w:val="en-GB"/>
        </w:rPr>
        <w:lastRenderedPageBreak/>
        <w:t xml:space="preserve">As late as the mid-1960s, dairy products were not a major element in the Spanish diet. For many households, especially those of low income and those located in regions where dairy farming was poorly developed, purchasing dairy produce on a regular basis implied too big an economic effort. Moreover, the low quality of the dairy products </w:t>
      </w:r>
      <w:proofErr w:type="gramStart"/>
      <w:r w:rsidRPr="009A6F08">
        <w:rPr>
          <w:rFonts w:cs="Arial"/>
          <w:lang w:val="en-GB"/>
        </w:rPr>
        <w:t>actually available</w:t>
      </w:r>
      <w:proofErr w:type="gramEnd"/>
      <w:r w:rsidRPr="009A6F08">
        <w:rPr>
          <w:rFonts w:cs="Arial"/>
          <w:lang w:val="en-GB"/>
        </w:rPr>
        <w:t xml:space="preserve"> in the market (raw milk, in particular) was making consumers less and less willing to use any increases that might take place in their purchasing power to buy more dairy produce. Spain’s level of dairy consumption was among the lowest in the West, and calcium deficiency was a major nutritional problem. During the quarter-century that followed, this situation changed drastically. Dairy consumption grew very rapidly and became massive, while Spain’s calcium intake made it for the first time into the bands set by international dietary recommendations.</w:t>
      </w:r>
    </w:p>
    <w:p w14:paraId="3A2E13CF" w14:textId="77777777" w:rsidR="00C60CA9" w:rsidRPr="009A6F08" w:rsidRDefault="00C60CA9" w:rsidP="00C60CA9">
      <w:pPr>
        <w:spacing w:line="480" w:lineRule="auto"/>
        <w:ind w:firstLine="708"/>
        <w:rPr>
          <w:rFonts w:cs="Arial"/>
          <w:lang w:val="en-GB"/>
        </w:rPr>
      </w:pPr>
      <w:r w:rsidRPr="009A6F08">
        <w:rPr>
          <w:rFonts w:cs="Arial"/>
          <w:lang w:val="en-GB"/>
        </w:rPr>
        <w:t xml:space="preserve">This great transformation can be explained within a conceptual framework that integrates the theoretical synthesis by economist Louis Malassis in an evolutionary framework. The massification of dairy consumption resulted from the emergence of a high degree of structural coherence in the co-evolution of three groups of semi-autonomous factors: demand capacity, supply capacity, and consumer preferences. Rapid economic growth, especially until the mid-1970s, translated into rapid growth in household incomes, which in turn greatly softened the budget constraint that households were facing. This was joined by the making of a modern dairy chain, led by an emerging milk processing industry. The rise of dairy industrialization, together with biological innovation in dairy farming, mitigated the inflationary pressures that had been experienced in the milk market in the years prior to the mid-1960s. In time, (especially from the mid-1970s onwards), supply-side changes (especially in retailing) would eventually favour a </w:t>
      </w:r>
      <w:r w:rsidRPr="009A6F08">
        <w:rPr>
          <w:rFonts w:cs="Arial"/>
          <w:lang w:val="en-GB"/>
        </w:rPr>
        <w:lastRenderedPageBreak/>
        <w:t xml:space="preserve">reduction in consumer prices, which reinforced the effect of increasing household income on the budget constraint. Finally, these changes in income and prices had a large impact on actual consumption because consumers became more favourably oriented to dairy products than in the recent past. The main reason was that dairy industrialization made processed milk available in large quantities </w:t>
      </w:r>
      <w:proofErr w:type="gramStart"/>
      <w:r w:rsidRPr="009A6F08">
        <w:rPr>
          <w:rFonts w:cs="Arial"/>
          <w:lang w:val="en-GB"/>
        </w:rPr>
        <w:t>all across</w:t>
      </w:r>
      <w:proofErr w:type="gramEnd"/>
      <w:r w:rsidRPr="009A6F08">
        <w:rPr>
          <w:rFonts w:cs="Arial"/>
          <w:lang w:val="en-GB"/>
        </w:rPr>
        <w:t xml:space="preserve"> the country. Processed milk was not cheaper than raw milk (which until then had been the main type of milk consumed), but it was more trustworthy. Once processed milk became a real option, consumers became interested again in devoting some part of their increasing purchasing power to buying more milk.</w:t>
      </w:r>
    </w:p>
    <w:p w14:paraId="14BACA50" w14:textId="77777777" w:rsidR="00C60CA9" w:rsidRPr="009A6F08" w:rsidRDefault="00C60CA9" w:rsidP="00C60CA9">
      <w:pPr>
        <w:spacing w:line="480" w:lineRule="auto"/>
        <w:ind w:firstLine="708"/>
        <w:rPr>
          <w:rFonts w:cs="Arial"/>
          <w:lang w:val="en-GB"/>
        </w:rPr>
      </w:pPr>
      <w:r w:rsidRPr="009A6F08">
        <w:rPr>
          <w:rFonts w:cs="Arial"/>
          <w:lang w:val="en-GB"/>
        </w:rPr>
        <w:t>It is true that coherence between these different developments was not complete. In particular, the move towards an industry-dominated dairy chain did not lead to rapid, major consumer price reductions. There were important shortcomings in both milk processing and commercial intermediation, and this prevented supply-side changes from substantially reinforcing the effect of increasing household incomes. All in all, the degree of structural coherence was remarkable, especially if we take the years prior to the mid-1960s as the reference for comparison. In the 1950s and early 1960s, household income was increasing rapidly, but this did not lead to rapid increases in dairy consumption because supply-side problems produced dairy inflation and deteriorated consumer trust. From the mid-1960s onwards, the boost that took place in dairy industrialization strengthened the coherence of the mesoeconomic sphere with a macroeconomic sphere that had been evolving in a sufficiently propitious way for quite some time.</w:t>
      </w:r>
    </w:p>
    <w:p w14:paraId="5CF017EE" w14:textId="77777777" w:rsidR="00C60CA9" w:rsidRPr="009A6F08" w:rsidRDefault="00C60CA9" w:rsidP="00C60CA9">
      <w:pPr>
        <w:spacing w:line="480" w:lineRule="auto"/>
        <w:ind w:firstLine="708"/>
        <w:rPr>
          <w:rFonts w:cs="Arial"/>
          <w:lang w:val="en-GB"/>
        </w:rPr>
      </w:pPr>
      <w:r w:rsidRPr="009A6F08">
        <w:rPr>
          <w:rFonts w:cs="Arial"/>
          <w:lang w:val="en-GB"/>
        </w:rPr>
        <w:t xml:space="preserve">What are the broader historiographical implications of this case study? The case basically confirms the newer view of modern diet change that is associated </w:t>
      </w:r>
      <w:r w:rsidRPr="009A6F08">
        <w:rPr>
          <w:rFonts w:cs="Arial"/>
          <w:lang w:val="en-GB"/>
        </w:rPr>
        <w:lastRenderedPageBreak/>
        <w:t>to food regime theory, the Montpellier school of agri-food economics or recent food history – namely, that the West’s nutritional transition from the mid-nineteenth century to the late twentieth century was actually a sequence composed of two distinct food consumption regimes: before and after food came to be produced mostly by industrial companies using mass production systems. Nevertheless, the study presented here presents an alternative perspective on the causes why food industrialization created this discontinuity.</w:t>
      </w:r>
    </w:p>
    <w:p w14:paraId="01D3007F" w14:textId="77777777" w:rsidR="00C60CA9" w:rsidRPr="009A6F08" w:rsidRDefault="00C60CA9" w:rsidP="00C60CA9">
      <w:pPr>
        <w:spacing w:line="480" w:lineRule="auto"/>
        <w:ind w:firstLine="708"/>
        <w:rPr>
          <w:rFonts w:cs="Arial"/>
          <w:lang w:val="en-GB"/>
        </w:rPr>
      </w:pPr>
      <w:r w:rsidRPr="009A6F08">
        <w:rPr>
          <w:rFonts w:cs="Arial"/>
          <w:lang w:val="en-GB"/>
        </w:rPr>
        <w:t xml:space="preserve">Much has been written about processors’ capacity to supply cheap food and, consequently, to foster the spread of a new kind of diet in post-1945 Western societies. In our study case, however, we do not find much of that: the contribution made by food industrialization to softening the household budget constraint was secondary in relation to income growth. By focusing almost exclusively on the food system mesoeconomic level, approaches like food regime theory tend to ignore that the decades after 1945 were exceptional not only because of the making of an industry-led food system, but also (and perhaps more relevantly) because economic growth in the West was faster than ever before or ever after. It is necessary to </w:t>
      </w:r>
      <w:proofErr w:type="gramStart"/>
      <w:r w:rsidRPr="009A6F08">
        <w:rPr>
          <w:rFonts w:cs="Arial"/>
          <w:lang w:val="en-GB"/>
        </w:rPr>
        <w:t>take into account</w:t>
      </w:r>
      <w:proofErr w:type="gramEnd"/>
      <w:r w:rsidRPr="009A6F08">
        <w:rPr>
          <w:rFonts w:cs="Arial"/>
          <w:lang w:val="en-GB"/>
        </w:rPr>
        <w:t xml:space="preserve"> this macroeconomic golden age before assuming that it was food industrialization what led the expansion of consumers’ economic possibilities. Furthermore, it </w:t>
      </w:r>
      <w:proofErr w:type="gramStart"/>
      <w:r w:rsidRPr="009A6F08">
        <w:rPr>
          <w:rFonts w:cs="Arial"/>
          <w:lang w:val="en-GB"/>
        </w:rPr>
        <w:t>has to</w:t>
      </w:r>
      <w:proofErr w:type="gramEnd"/>
      <w:r w:rsidRPr="009A6F08">
        <w:rPr>
          <w:rFonts w:cs="Arial"/>
          <w:lang w:val="en-GB"/>
        </w:rPr>
        <w:t xml:space="preserve"> be considered that the macroeconomic golden age, through its effect on household incomes, could not but make it more difficult for the food system to generate large, rapid price reductions for those products that were still at an expansive stage in their life cycle. The issue is empirical in the end and illustrates the problems of approaching diet change through impressionistic evidence and little connection </w:t>
      </w:r>
      <w:r w:rsidRPr="009A6F08">
        <w:rPr>
          <w:rFonts w:cs="Arial"/>
          <w:lang w:val="en-GB"/>
        </w:rPr>
        <w:lastRenderedPageBreak/>
        <w:t>to broader literatures on socio-economic change (as is commonly the case in food regime theory).</w:t>
      </w:r>
      <w:r w:rsidRPr="009A6F08">
        <w:rPr>
          <w:rStyle w:val="Refdenotaalpie"/>
          <w:rFonts w:cs="Arial"/>
          <w:lang w:val="en-GB"/>
        </w:rPr>
        <w:footnoteReference w:id="58"/>
      </w:r>
    </w:p>
    <w:p w14:paraId="16C6C55B" w14:textId="77777777" w:rsidR="00C60CA9" w:rsidRPr="009A6F08" w:rsidRDefault="00C60CA9" w:rsidP="00C60CA9">
      <w:pPr>
        <w:spacing w:line="480" w:lineRule="auto"/>
        <w:ind w:firstLine="708"/>
        <w:rPr>
          <w:rFonts w:cs="Arial"/>
          <w:lang w:val="en-GB"/>
        </w:rPr>
      </w:pPr>
      <w:r w:rsidRPr="009A6F08">
        <w:rPr>
          <w:rFonts w:cs="Arial"/>
          <w:lang w:val="en-GB"/>
        </w:rPr>
        <w:t>In our case, the discontinuity brought about by food industrialization was rather of a qualitative nature. The key was not that industrial food was cheaper than organic food (actually, it was more expensive), but that it was standardized. Present-centred social science literature has often portrayed industrial, mass-produced food as low-quality food, especially when discussing the so-called ‘quality turn’ that in the last thirty or forty years has been led by organic and artisan food, territorial denominations, slow food and short food chains, all of which can be read as attempts to transcend industrial food.</w:t>
      </w:r>
      <w:r w:rsidRPr="009A6F08">
        <w:rPr>
          <w:rStyle w:val="Refdenotaalpie"/>
          <w:rFonts w:cs="Arial"/>
          <w:lang w:val="en-GB"/>
        </w:rPr>
        <w:footnoteReference w:id="59"/>
      </w:r>
      <w:r w:rsidRPr="009A6F08">
        <w:rPr>
          <w:rFonts w:cs="Arial"/>
          <w:lang w:val="en-GB"/>
        </w:rPr>
        <w:t xml:space="preserve"> Historians have often projected this image of industrial food as low-quality food backwards in time. However, we would do well in suspecting that each new consumption regime may have had some quality turn of its own – some turn towards new varieties of food products that were qualitatively different from (and from some point of view perceived as superior to) the varieties that had been available until then.</w:t>
      </w:r>
      <w:r w:rsidRPr="009A6F08">
        <w:rPr>
          <w:rStyle w:val="Refdenotaalpie"/>
          <w:rFonts w:cs="Arial"/>
          <w:lang w:val="en-GB"/>
        </w:rPr>
        <w:footnoteReference w:id="60"/>
      </w:r>
      <w:r w:rsidRPr="009A6F08">
        <w:rPr>
          <w:rFonts w:cs="Arial"/>
          <w:lang w:val="en-GB"/>
        </w:rPr>
        <w:t xml:space="preserve"> For the myriad of consumers whose everyday decisions built the triumph of the industrial diet, the possibility of gaining access to standardized food and getting rid of the reliability problems that were associated to organic and/or traditional foods may well have been truly perceived as a quality turn. Industrial food was not high-quality food in gastronomic, </w:t>
      </w:r>
      <w:proofErr w:type="gramStart"/>
      <w:r w:rsidRPr="009A6F08">
        <w:rPr>
          <w:rFonts w:cs="Arial"/>
          <w:lang w:val="en-GB"/>
        </w:rPr>
        <w:t>nutritional</w:t>
      </w:r>
      <w:proofErr w:type="gramEnd"/>
      <w:r w:rsidRPr="009A6F08">
        <w:rPr>
          <w:rFonts w:cs="Arial"/>
          <w:lang w:val="en-GB"/>
        </w:rPr>
        <w:t xml:space="preserve"> or sensorial terms, but it was good enough for consumers to be willing to pay a quality premium for it – that is, just what vanguard, post-industrial food consumers do today when transitioning to a </w:t>
      </w:r>
      <w:r w:rsidRPr="009A6F08">
        <w:rPr>
          <w:rFonts w:cs="Arial"/>
          <w:lang w:val="en-GB"/>
        </w:rPr>
        <w:lastRenderedPageBreak/>
        <w:t>diet rich in organic foods and smaller-scale productions. It has been suggested that the current food consumption regime is defined by consumers undertaking much qualitative substitution within food groups (for instance, substituting whole milk by fat-free milk and probiotic fermented milk), but it is likely that analogous, organic-by-industrial substitutions were already taking place in the decades after the Second World War.</w:t>
      </w:r>
      <w:r w:rsidRPr="009A6F08">
        <w:rPr>
          <w:rStyle w:val="Refdenotaalpie"/>
          <w:rFonts w:cs="Arial"/>
          <w:lang w:val="en-GB"/>
        </w:rPr>
        <w:footnoteReference w:id="61"/>
      </w:r>
    </w:p>
    <w:p w14:paraId="628DF6E5" w14:textId="77777777" w:rsidR="00C60CA9" w:rsidRPr="009A6F08" w:rsidRDefault="00C60CA9" w:rsidP="00C60CA9">
      <w:pPr>
        <w:spacing w:line="480" w:lineRule="auto"/>
        <w:ind w:firstLine="708"/>
        <w:rPr>
          <w:rFonts w:cs="Arial"/>
          <w:lang w:val="en-GB"/>
        </w:rPr>
      </w:pPr>
      <w:r w:rsidRPr="009A6F08">
        <w:rPr>
          <w:rFonts w:cs="Arial"/>
          <w:lang w:val="en-GB"/>
        </w:rPr>
        <w:t>An open question is, of course, how generalizable the insights provided by this study case are. The case of Spain, an economy that grew faster than the Western average during most of the period, may entail some bias for the argument defended here about income growth as the major driver of the expansion of consumers’ economic possibilities.</w:t>
      </w:r>
      <w:r w:rsidRPr="009A6F08">
        <w:rPr>
          <w:rStyle w:val="Refdenotaalpie"/>
          <w:rFonts w:cs="Arial"/>
          <w:lang w:val="en-GB"/>
        </w:rPr>
        <w:footnoteReference w:id="62"/>
      </w:r>
      <w:r w:rsidRPr="009A6F08">
        <w:rPr>
          <w:rFonts w:cs="Arial"/>
          <w:lang w:val="en-GB"/>
        </w:rPr>
        <w:t xml:space="preserve"> Perhaps in other Western countries, where economic growth was slower and/or the nutritional transition was at a more advanced stage, the price effect may have played a more prominent role. The choice of dairy products for this study may have entailed some additional bias in the same direction. Milk is among the food products with a more complex, conflict-laden technical biography.</w:t>
      </w:r>
      <w:r w:rsidRPr="009A6F08">
        <w:rPr>
          <w:rStyle w:val="Refdenotaalpie"/>
          <w:rFonts w:cs="Arial"/>
          <w:lang w:val="en-GB"/>
        </w:rPr>
        <w:footnoteReference w:id="63"/>
      </w:r>
      <w:r w:rsidRPr="009A6F08">
        <w:rPr>
          <w:rFonts w:cs="Arial"/>
          <w:lang w:val="en-GB"/>
        </w:rPr>
        <w:t xml:space="preserve"> Perhaps the qualitative discontinuity brought about by industrialization was not so sharp for other food products. This does not mean that the case studied here should be seen as an anomaly, though. After all, the period after 1945 was a macroeconomic golden age </w:t>
      </w:r>
      <w:proofErr w:type="gramStart"/>
      <w:r w:rsidRPr="009A6F08">
        <w:rPr>
          <w:rFonts w:cs="Arial"/>
          <w:lang w:val="en-GB"/>
        </w:rPr>
        <w:t>all across</w:t>
      </w:r>
      <w:proofErr w:type="gramEnd"/>
      <w:r w:rsidRPr="009A6F08">
        <w:rPr>
          <w:rFonts w:cs="Arial"/>
          <w:lang w:val="en-GB"/>
        </w:rPr>
        <w:t xml:space="preserve"> the West, which raises the threshold beyond which the price reductions generated by food industrialization could become a major force in the softening of the budget constraint. On the other hand, almost all food product groups, and not just dairy products, underwent important transformations in </w:t>
      </w:r>
      <w:r w:rsidRPr="009A6F08">
        <w:rPr>
          <w:rFonts w:cs="Arial"/>
          <w:lang w:val="en-GB"/>
        </w:rPr>
        <w:lastRenderedPageBreak/>
        <w:t xml:space="preserve">composition, </w:t>
      </w:r>
      <w:proofErr w:type="gramStart"/>
      <w:r w:rsidRPr="009A6F08">
        <w:rPr>
          <w:rFonts w:cs="Arial"/>
          <w:lang w:val="en-GB"/>
        </w:rPr>
        <w:t>texture</w:t>
      </w:r>
      <w:proofErr w:type="gramEnd"/>
      <w:r w:rsidRPr="009A6F08">
        <w:rPr>
          <w:rFonts w:cs="Arial"/>
          <w:lang w:val="en-GB"/>
        </w:rPr>
        <w:t xml:space="preserve"> and taste as a result of the substitution of organic or semi-artisan production methods by large-scale, industrial methods. This must have created substantial room for food industrialization to exert the kind of qualitative impact found in this article.</w:t>
      </w:r>
    </w:p>
    <w:p w14:paraId="7B45A0EE" w14:textId="77777777" w:rsidR="00C60CA9" w:rsidRPr="009A6F08" w:rsidRDefault="00C60CA9" w:rsidP="00C60CA9">
      <w:pPr>
        <w:spacing w:line="480" w:lineRule="auto"/>
        <w:ind w:firstLine="708"/>
        <w:rPr>
          <w:rFonts w:cs="Arial"/>
          <w:lang w:val="en-GB"/>
        </w:rPr>
      </w:pPr>
      <w:r w:rsidRPr="009A6F08">
        <w:rPr>
          <w:rFonts w:cs="Arial"/>
          <w:lang w:val="en-GB"/>
        </w:rPr>
        <w:t xml:space="preserve">Future research may clarify whether the hypotheses posed here are pertinent and, if so, the ways in which they should be qualified and revised. The conceptual framework and empirical strategy used for this study case may be applied to other countries and products </w:t>
      </w:r>
      <w:proofErr w:type="gramStart"/>
      <w:r w:rsidRPr="009A6F08">
        <w:rPr>
          <w:rFonts w:cs="Arial"/>
          <w:lang w:val="en-GB"/>
        </w:rPr>
        <w:t>in order to</w:t>
      </w:r>
      <w:proofErr w:type="gramEnd"/>
      <w:r w:rsidRPr="009A6F08">
        <w:rPr>
          <w:rFonts w:cs="Arial"/>
          <w:lang w:val="en-GB"/>
        </w:rPr>
        <w:t xml:space="preserve"> move forward in that direction.</w:t>
      </w:r>
    </w:p>
    <w:p w14:paraId="393BC053" w14:textId="77777777" w:rsidR="00C60CA9" w:rsidRPr="009A6F08" w:rsidRDefault="00C60CA9" w:rsidP="00C60CA9">
      <w:pPr>
        <w:spacing w:line="480" w:lineRule="auto"/>
        <w:rPr>
          <w:rFonts w:cs="Arial"/>
          <w:lang w:val="en-GB"/>
        </w:rPr>
      </w:pPr>
    </w:p>
    <w:p w14:paraId="444DFF5A" w14:textId="77777777" w:rsidR="00C60CA9" w:rsidRPr="009A6F08" w:rsidRDefault="00C60CA9" w:rsidP="00C60CA9">
      <w:pPr>
        <w:spacing w:line="480" w:lineRule="auto"/>
        <w:rPr>
          <w:rFonts w:cs="Arial"/>
          <w:lang w:val="en-GB"/>
        </w:rPr>
      </w:pPr>
    </w:p>
    <w:p w14:paraId="7F49F94E" w14:textId="77777777" w:rsidR="00C60CA9" w:rsidRPr="009A6F08" w:rsidRDefault="00C60CA9" w:rsidP="00C60CA9">
      <w:pPr>
        <w:spacing w:line="480" w:lineRule="auto"/>
        <w:rPr>
          <w:rFonts w:cs="Arial"/>
          <w:b/>
        </w:rPr>
      </w:pPr>
      <w:r w:rsidRPr="009A6F08">
        <w:rPr>
          <w:rFonts w:cs="Arial"/>
          <w:b/>
        </w:rPr>
        <w:t>Footnote references</w:t>
      </w:r>
    </w:p>
    <w:p w14:paraId="53EE2ED4" w14:textId="77777777" w:rsidR="00C60CA9" w:rsidRPr="009A6F08" w:rsidRDefault="00C60CA9" w:rsidP="00C60CA9">
      <w:pPr>
        <w:spacing w:line="480" w:lineRule="auto"/>
        <w:rPr>
          <w:rFonts w:cs="Arial"/>
          <w:b/>
        </w:rPr>
      </w:pPr>
    </w:p>
    <w:p w14:paraId="738760D7" w14:textId="77777777" w:rsidR="00C60CA9" w:rsidRPr="009A6F08" w:rsidRDefault="00C60CA9" w:rsidP="00C60CA9">
      <w:pPr>
        <w:spacing w:line="480" w:lineRule="auto"/>
        <w:ind w:left="709" w:hanging="709"/>
        <w:rPr>
          <w:rFonts w:cs="Arial"/>
        </w:rPr>
      </w:pPr>
      <w:r w:rsidRPr="009A6F08">
        <w:rPr>
          <w:rFonts w:cs="Arial"/>
        </w:rPr>
        <w:t xml:space="preserve">Abad, C. and Naredo, J. M., ‘Sobre la “modernización” de la agricultura española (1940-1995): de la agricultura tradicional hacia la capitalización agraria y la dependencia asistencial’, in C. Gómez Benito y J. J. González, eds., </w:t>
      </w:r>
      <w:r w:rsidRPr="009A6F08">
        <w:rPr>
          <w:rFonts w:cs="Arial"/>
          <w:i/>
        </w:rPr>
        <w:t xml:space="preserve">Agricultura y sociedad en la España contemporánea </w:t>
      </w:r>
      <w:r w:rsidRPr="009A6F08">
        <w:rPr>
          <w:rFonts w:cs="Arial"/>
        </w:rPr>
        <w:t>(Madrid, 1997), pp. 249-316</w:t>
      </w:r>
    </w:p>
    <w:p w14:paraId="2B9B128A" w14:textId="77777777" w:rsidR="00C60CA9" w:rsidRPr="009A6F08" w:rsidRDefault="00C60CA9" w:rsidP="00C60CA9">
      <w:pPr>
        <w:spacing w:line="480" w:lineRule="auto"/>
        <w:ind w:left="709" w:hanging="709"/>
        <w:rPr>
          <w:rFonts w:cs="Arial"/>
          <w:i/>
        </w:rPr>
      </w:pPr>
      <w:r w:rsidRPr="009A6F08">
        <w:rPr>
          <w:rFonts w:cs="Arial"/>
        </w:rPr>
        <w:t xml:space="preserve">Alonso, L. E. y Conde, F., </w:t>
      </w:r>
      <w:r w:rsidRPr="009A6F08">
        <w:rPr>
          <w:rFonts w:cs="Arial"/>
          <w:i/>
        </w:rPr>
        <w:t>Historia del consumo en España: una aproximación a sus orígenes y primer desarrollo</w:t>
      </w:r>
      <w:r w:rsidRPr="009A6F08">
        <w:rPr>
          <w:rFonts w:cs="Arial"/>
        </w:rPr>
        <w:t xml:space="preserve"> (Madrid, 1994)</w:t>
      </w:r>
      <w:r w:rsidRPr="009A6F08">
        <w:rPr>
          <w:rFonts w:cs="Arial"/>
          <w:i/>
        </w:rPr>
        <w:t>.</w:t>
      </w:r>
    </w:p>
    <w:p w14:paraId="77230A7A" w14:textId="77777777" w:rsidR="00C60CA9" w:rsidRPr="009A6F08" w:rsidRDefault="00C60CA9" w:rsidP="00C60CA9">
      <w:pPr>
        <w:spacing w:line="480" w:lineRule="auto"/>
        <w:ind w:left="709" w:hanging="709"/>
        <w:rPr>
          <w:rFonts w:cs="Arial"/>
        </w:rPr>
      </w:pPr>
      <w:r w:rsidRPr="009A6F08">
        <w:rPr>
          <w:rFonts w:cs="Arial"/>
        </w:rPr>
        <w:t xml:space="preserve">Astarloa, J. R., ‘Las compensaciones de la Administración por renunciar a las concesiones administrativas de las Centrales Lecheras no son lo esperado por las industrias’, </w:t>
      </w:r>
      <w:r w:rsidRPr="009A6F08">
        <w:rPr>
          <w:rFonts w:cs="Arial"/>
          <w:i/>
        </w:rPr>
        <w:t>Industrias Lácteas Españolas</w:t>
      </w:r>
      <w:r w:rsidRPr="009A6F08">
        <w:rPr>
          <w:rFonts w:cs="Arial"/>
        </w:rPr>
        <w:t>, 86 (1986), pp. 9-13.</w:t>
      </w:r>
    </w:p>
    <w:p w14:paraId="1655DC10" w14:textId="77777777" w:rsidR="00C60CA9" w:rsidRPr="009A6F08" w:rsidRDefault="00C60CA9" w:rsidP="00C60CA9">
      <w:pPr>
        <w:spacing w:line="480" w:lineRule="auto"/>
        <w:ind w:left="709" w:hanging="709"/>
        <w:rPr>
          <w:rFonts w:cs="Arial"/>
          <w:lang w:val="en-US"/>
        </w:rPr>
      </w:pPr>
      <w:r w:rsidRPr="009A6F08">
        <w:rPr>
          <w:rFonts w:cs="Arial"/>
          <w:lang w:val="en-US"/>
        </w:rPr>
        <w:t xml:space="preserve">Atkins, P. J., </w:t>
      </w:r>
      <w:r w:rsidRPr="009A6F08">
        <w:rPr>
          <w:rFonts w:cs="Arial"/>
          <w:i/>
          <w:lang w:val="en-US"/>
        </w:rPr>
        <w:t xml:space="preserve">Liquid materialities: a history of milk, </w:t>
      </w:r>
      <w:proofErr w:type="gramStart"/>
      <w:r w:rsidRPr="009A6F08">
        <w:rPr>
          <w:rFonts w:cs="Arial"/>
          <w:i/>
          <w:lang w:val="en-US"/>
        </w:rPr>
        <w:t>science</w:t>
      </w:r>
      <w:proofErr w:type="gramEnd"/>
      <w:r w:rsidRPr="009A6F08">
        <w:rPr>
          <w:rFonts w:cs="Arial"/>
          <w:i/>
          <w:lang w:val="en-US"/>
        </w:rPr>
        <w:t xml:space="preserve"> and the law</w:t>
      </w:r>
      <w:r w:rsidRPr="009A6F08">
        <w:rPr>
          <w:rFonts w:cs="Arial"/>
          <w:lang w:val="en-US"/>
        </w:rPr>
        <w:t xml:space="preserve"> (Farnham, 2010).</w:t>
      </w:r>
    </w:p>
    <w:p w14:paraId="76E82175" w14:textId="77777777" w:rsidR="00C60CA9" w:rsidRPr="009A6F08" w:rsidRDefault="00C60CA9" w:rsidP="00C60CA9">
      <w:pPr>
        <w:spacing w:line="480" w:lineRule="auto"/>
        <w:ind w:left="709" w:hanging="709"/>
        <w:rPr>
          <w:rFonts w:cs="Arial"/>
          <w:lang w:val="en-US"/>
        </w:rPr>
      </w:pPr>
      <w:r w:rsidRPr="009A6F08">
        <w:rPr>
          <w:rFonts w:cs="Arial"/>
          <w:lang w:val="en-US"/>
        </w:rPr>
        <w:lastRenderedPageBreak/>
        <w:t xml:space="preserve">Atkins, P. J., ‘The long genealogy of quality in the British drinking-milk sector’, </w:t>
      </w:r>
      <w:r w:rsidRPr="009A6F08">
        <w:rPr>
          <w:rFonts w:cs="Arial"/>
          <w:i/>
          <w:lang w:val="en-US"/>
        </w:rPr>
        <w:t>Historia Agraria</w:t>
      </w:r>
      <w:r w:rsidRPr="009A6F08">
        <w:rPr>
          <w:rFonts w:cs="Arial"/>
          <w:lang w:val="en-US"/>
        </w:rPr>
        <w:t>, 73 (2017), pp. 35-58.</w:t>
      </w:r>
    </w:p>
    <w:p w14:paraId="425888EE" w14:textId="77777777" w:rsidR="00C60CA9" w:rsidRPr="009A6F08" w:rsidRDefault="00C60CA9" w:rsidP="00C60CA9">
      <w:pPr>
        <w:spacing w:line="480" w:lineRule="auto"/>
        <w:ind w:left="709" w:hanging="709"/>
        <w:rPr>
          <w:rFonts w:cs="Arial"/>
          <w:lang w:val="fr-FR"/>
        </w:rPr>
      </w:pPr>
      <w:r w:rsidRPr="009A6F08">
        <w:rPr>
          <w:rFonts w:cs="Arial"/>
          <w:lang w:val="fr-FR"/>
        </w:rPr>
        <w:t xml:space="preserve">Aymard, M., ‘Pour une histoire de </w:t>
      </w:r>
      <w:proofErr w:type="gramStart"/>
      <w:r w:rsidRPr="009A6F08">
        <w:rPr>
          <w:rFonts w:cs="Arial"/>
          <w:lang w:val="fr-FR"/>
        </w:rPr>
        <w:t>l’alimentation:</w:t>
      </w:r>
      <w:proofErr w:type="gramEnd"/>
      <w:r w:rsidRPr="009A6F08">
        <w:rPr>
          <w:rFonts w:cs="Arial"/>
          <w:lang w:val="fr-FR"/>
        </w:rPr>
        <w:t xml:space="preserve"> quelques remarques de méthode’, </w:t>
      </w:r>
      <w:r w:rsidRPr="009A6F08">
        <w:rPr>
          <w:rFonts w:cs="Arial"/>
          <w:i/>
          <w:lang w:val="fr-FR"/>
        </w:rPr>
        <w:t>Annales: Économies, Sociétés, Civilisations</w:t>
      </w:r>
      <w:r w:rsidRPr="009A6F08">
        <w:rPr>
          <w:rFonts w:cs="Arial"/>
          <w:lang w:val="fr-FR"/>
        </w:rPr>
        <w:t>, 30 (1975), pp. 431-444.</w:t>
      </w:r>
    </w:p>
    <w:p w14:paraId="5989DD03" w14:textId="77777777" w:rsidR="00C60CA9" w:rsidRPr="009A6F08" w:rsidRDefault="00C60CA9" w:rsidP="00C60CA9">
      <w:pPr>
        <w:spacing w:line="480" w:lineRule="auto"/>
        <w:ind w:left="709" w:hanging="709"/>
        <w:rPr>
          <w:rFonts w:cs="Arial"/>
          <w:lang w:val="en-US"/>
        </w:rPr>
      </w:pPr>
      <w:r w:rsidRPr="009A6F08">
        <w:rPr>
          <w:rFonts w:cs="Arial"/>
          <w:lang w:val="en-US"/>
        </w:rPr>
        <w:t xml:space="preserve">Biltekoff, C., ‘Critical nutrition studies’, in J. M. Pilcher, ed., </w:t>
      </w:r>
      <w:r w:rsidRPr="009A6F08">
        <w:rPr>
          <w:rFonts w:cs="Arial"/>
          <w:i/>
          <w:lang w:val="en-US"/>
        </w:rPr>
        <w:t>The Oxford handbook of food history</w:t>
      </w:r>
      <w:r w:rsidRPr="009A6F08">
        <w:rPr>
          <w:rFonts w:cs="Arial"/>
          <w:lang w:val="en-US"/>
        </w:rPr>
        <w:t xml:space="preserve"> (New York, 2012), pp. 172-190.</w:t>
      </w:r>
    </w:p>
    <w:p w14:paraId="18F0B208" w14:textId="77777777" w:rsidR="00C60CA9" w:rsidRPr="009A6F08" w:rsidRDefault="00C60CA9" w:rsidP="00C60CA9">
      <w:pPr>
        <w:spacing w:line="480" w:lineRule="auto"/>
        <w:ind w:left="709" w:hanging="709"/>
        <w:rPr>
          <w:rFonts w:cs="Arial"/>
          <w:lang w:val="en-US"/>
        </w:rPr>
      </w:pPr>
      <w:r w:rsidRPr="009A6F08">
        <w:rPr>
          <w:rFonts w:cs="Arial"/>
          <w:lang w:val="en-US"/>
        </w:rPr>
        <w:t xml:space="preserve">Brassley, P., ‘Food production and food processing in western Europe, 1850-1990: some conclusions’, in Y. Segers, J. Bieleman and E. Buyst, eds., </w:t>
      </w:r>
      <w:r w:rsidRPr="009A6F08">
        <w:rPr>
          <w:rFonts w:cs="Arial"/>
          <w:i/>
          <w:lang w:val="en-US"/>
        </w:rPr>
        <w:t>Exploring the food chain: food production and food processing in Western Europe, 1850-1990</w:t>
      </w:r>
      <w:r w:rsidRPr="009A6F08">
        <w:rPr>
          <w:rFonts w:cs="Arial"/>
          <w:lang w:val="en-US"/>
        </w:rPr>
        <w:t xml:space="preserve"> (Turnhout, 2009), pp. 281-287.</w:t>
      </w:r>
    </w:p>
    <w:p w14:paraId="64EA8CA2" w14:textId="77777777" w:rsidR="00C60CA9" w:rsidRPr="009A6F08" w:rsidRDefault="00C60CA9" w:rsidP="00C60CA9">
      <w:pPr>
        <w:spacing w:line="480" w:lineRule="auto"/>
        <w:ind w:left="709" w:hanging="709"/>
        <w:rPr>
          <w:rFonts w:cs="Arial"/>
        </w:rPr>
      </w:pPr>
      <w:r w:rsidRPr="009A6F08">
        <w:rPr>
          <w:rFonts w:cs="Arial"/>
        </w:rPr>
        <w:t xml:space="preserve">Briz, J., ‘Anotaciones al mercado lácteo en España’, </w:t>
      </w:r>
      <w:r w:rsidRPr="009A6F08">
        <w:rPr>
          <w:rFonts w:cs="Arial"/>
          <w:i/>
        </w:rPr>
        <w:t>Revista de Estudios Agrosociales</w:t>
      </w:r>
      <w:r w:rsidRPr="009A6F08">
        <w:rPr>
          <w:rFonts w:cs="Arial"/>
        </w:rPr>
        <w:t>, 99 (1977), pp. 35-79.</w:t>
      </w:r>
    </w:p>
    <w:p w14:paraId="152217BE" w14:textId="77777777" w:rsidR="00C60CA9" w:rsidRPr="009A6F08" w:rsidRDefault="00C60CA9" w:rsidP="00C60CA9">
      <w:pPr>
        <w:spacing w:line="480" w:lineRule="auto"/>
        <w:ind w:left="709" w:hanging="709"/>
        <w:rPr>
          <w:rFonts w:cs="Arial"/>
        </w:rPr>
      </w:pPr>
      <w:r w:rsidRPr="009A6F08">
        <w:rPr>
          <w:rFonts w:cs="Arial"/>
        </w:rPr>
        <w:t xml:space="preserve">Calatayud, S. and Medina-Albaladejo, F. J., ‘Leche sin prados: los factores ambientales e institucionales en el consumo lácteo (Valencia, 1870-1936)’, </w:t>
      </w:r>
      <w:r w:rsidRPr="009A6F08">
        <w:rPr>
          <w:rFonts w:cs="Arial"/>
          <w:i/>
        </w:rPr>
        <w:t>Ayer</w:t>
      </w:r>
      <w:r w:rsidRPr="009A6F08">
        <w:rPr>
          <w:rFonts w:cs="Arial"/>
        </w:rPr>
        <w:t>, 105 (2017), pp. 157-185.</w:t>
      </w:r>
    </w:p>
    <w:p w14:paraId="57F59549" w14:textId="77777777" w:rsidR="00C60CA9" w:rsidRPr="009A6F08" w:rsidRDefault="00C60CA9" w:rsidP="00C60CA9">
      <w:pPr>
        <w:spacing w:line="480" w:lineRule="auto"/>
        <w:ind w:left="709" w:hanging="709"/>
        <w:rPr>
          <w:rFonts w:cs="Arial"/>
        </w:rPr>
      </w:pPr>
      <w:r w:rsidRPr="009A6F08">
        <w:rPr>
          <w:rFonts w:cs="Arial"/>
        </w:rPr>
        <w:t xml:space="preserve">Calcedo, V. ‘Crisis, evolución y cambio en la ganadería de vacuno de leche de la España húmeda (1950 al 2000)’, in R. Domínguez, ed., </w:t>
      </w:r>
      <w:r w:rsidRPr="009A6F08">
        <w:rPr>
          <w:rFonts w:cs="Arial"/>
          <w:i/>
        </w:rPr>
        <w:t>La vocación ganadera del norte de España: del modelo tradicional a los desafíos del mercado mundial</w:t>
      </w:r>
      <w:r w:rsidRPr="009A6F08">
        <w:rPr>
          <w:rFonts w:cs="Arial"/>
        </w:rPr>
        <w:t xml:space="preserve"> (Madrid, 1997), pp. 207-286.</w:t>
      </w:r>
    </w:p>
    <w:p w14:paraId="036CF361" w14:textId="77777777" w:rsidR="00C60CA9" w:rsidRPr="009A6F08" w:rsidRDefault="00C60CA9" w:rsidP="00C60CA9">
      <w:pPr>
        <w:spacing w:line="480" w:lineRule="auto"/>
        <w:ind w:left="709" w:hanging="709"/>
        <w:rPr>
          <w:rFonts w:cs="Arial"/>
        </w:rPr>
      </w:pPr>
      <w:r w:rsidRPr="009A6F08">
        <w:rPr>
          <w:rFonts w:cs="Arial"/>
        </w:rPr>
        <w:t xml:space="preserve">Clar, E., ‘La soberanía del industrial. Industrias del complejo pienso-ganadero e implantación del modelo de consumo fordista en España: 1960-1975’, </w:t>
      </w:r>
      <w:r w:rsidRPr="009A6F08">
        <w:rPr>
          <w:rFonts w:cs="Arial"/>
          <w:i/>
        </w:rPr>
        <w:t>Revista de Historia Industrial</w:t>
      </w:r>
      <w:r w:rsidRPr="009A6F08">
        <w:rPr>
          <w:rFonts w:cs="Arial"/>
        </w:rPr>
        <w:t>, 36 (2008), pp. 133-165.</w:t>
      </w:r>
    </w:p>
    <w:p w14:paraId="05C18C42" w14:textId="77777777" w:rsidR="00C60CA9" w:rsidRPr="009A6F08" w:rsidRDefault="00C60CA9" w:rsidP="00C60CA9">
      <w:pPr>
        <w:spacing w:line="480" w:lineRule="auto"/>
        <w:ind w:left="709" w:hanging="709"/>
        <w:rPr>
          <w:rFonts w:cs="Arial"/>
        </w:rPr>
      </w:pPr>
      <w:r w:rsidRPr="009A6F08">
        <w:rPr>
          <w:rFonts w:cs="Arial"/>
        </w:rPr>
        <w:t xml:space="preserve">Collantes, F., ‘La evolución del consumo de productos lácteos en España, 1952-2007’, </w:t>
      </w:r>
      <w:r w:rsidRPr="009A6F08">
        <w:rPr>
          <w:rFonts w:cs="Arial"/>
          <w:i/>
        </w:rPr>
        <w:t>Revista de Historia Industrial</w:t>
      </w:r>
      <w:r w:rsidRPr="009A6F08">
        <w:rPr>
          <w:rFonts w:cs="Arial"/>
        </w:rPr>
        <w:t>, 55 (2014), pp. 103-134.</w:t>
      </w:r>
    </w:p>
    <w:p w14:paraId="6D2E8668" w14:textId="77777777" w:rsidR="00C60CA9" w:rsidRPr="009A6F08" w:rsidRDefault="00C60CA9" w:rsidP="00C60CA9">
      <w:pPr>
        <w:spacing w:line="480" w:lineRule="auto"/>
        <w:ind w:left="709" w:hanging="709"/>
        <w:rPr>
          <w:rFonts w:cs="Arial"/>
          <w:lang w:val="en-US"/>
        </w:rPr>
      </w:pPr>
      <w:r w:rsidRPr="009A6F08">
        <w:rPr>
          <w:rFonts w:cs="Arial"/>
          <w:lang w:val="en-US"/>
        </w:rPr>
        <w:lastRenderedPageBreak/>
        <w:t xml:space="preserve">Collantes, F., ‘Dairy products and shifts in Western models of food consumption since 1950: a Spanish perspective’, </w:t>
      </w:r>
      <w:r w:rsidRPr="009A6F08">
        <w:rPr>
          <w:rFonts w:cs="Arial"/>
          <w:i/>
          <w:lang w:val="en-US"/>
        </w:rPr>
        <w:t>Rural History</w:t>
      </w:r>
      <w:r w:rsidRPr="009A6F08">
        <w:rPr>
          <w:rFonts w:cs="Arial"/>
          <w:lang w:val="en-US"/>
        </w:rPr>
        <w:t>, 26, 2 (2015), pp. 249-268.</w:t>
      </w:r>
    </w:p>
    <w:p w14:paraId="2CE73A18" w14:textId="77777777" w:rsidR="00C60CA9" w:rsidRPr="009A6F08" w:rsidRDefault="00C60CA9" w:rsidP="00C60CA9">
      <w:pPr>
        <w:spacing w:line="480" w:lineRule="auto"/>
        <w:ind w:left="709" w:hanging="709"/>
        <w:rPr>
          <w:rFonts w:cs="Arial"/>
        </w:rPr>
      </w:pPr>
      <w:r w:rsidRPr="009A6F08">
        <w:rPr>
          <w:rFonts w:cs="Arial"/>
        </w:rPr>
        <w:t xml:space="preserve">Collantes, F., ‘Más allá de los promedios: patrones de segmentación del consumo de productos lácteos en España, 1964-2006’, </w:t>
      </w:r>
      <w:r w:rsidRPr="009A6F08">
        <w:rPr>
          <w:rFonts w:cs="Arial"/>
          <w:i/>
        </w:rPr>
        <w:t>Investigaciones de Historia Económica</w:t>
      </w:r>
      <w:r w:rsidRPr="009A6F08">
        <w:rPr>
          <w:rFonts w:cs="Arial"/>
        </w:rPr>
        <w:t>, 11, 2 (2015), pp. 103-115.</w:t>
      </w:r>
    </w:p>
    <w:p w14:paraId="3DAC7D5D" w14:textId="77777777" w:rsidR="00C60CA9" w:rsidRPr="009A6F08" w:rsidRDefault="00C60CA9" w:rsidP="00C60CA9">
      <w:pPr>
        <w:spacing w:line="480" w:lineRule="auto"/>
        <w:ind w:left="709" w:hanging="709"/>
        <w:rPr>
          <w:rFonts w:cs="Arial"/>
          <w:lang w:val="en-US"/>
        </w:rPr>
      </w:pPr>
      <w:r w:rsidRPr="009A6F08">
        <w:rPr>
          <w:rFonts w:cs="Arial"/>
          <w:lang w:val="en-US"/>
        </w:rPr>
        <w:t xml:space="preserve">Collantes, F., ‘Food chains and the retailing revolution: supermarkets, dairy processors and consumers in Spain (1960 to the present)’, </w:t>
      </w:r>
      <w:r w:rsidRPr="009A6F08">
        <w:rPr>
          <w:rFonts w:cs="Arial"/>
          <w:i/>
          <w:lang w:val="en-US"/>
        </w:rPr>
        <w:t>Business History</w:t>
      </w:r>
      <w:r w:rsidRPr="009A6F08">
        <w:rPr>
          <w:rFonts w:cs="Arial"/>
          <w:lang w:val="en-US"/>
        </w:rPr>
        <w:t>, 58, 7 (2016), pp. 1055-1077.</w:t>
      </w:r>
    </w:p>
    <w:p w14:paraId="1D52400A" w14:textId="77777777" w:rsidR="00C60CA9" w:rsidRPr="009A6F08" w:rsidRDefault="00C60CA9" w:rsidP="00C60CA9">
      <w:pPr>
        <w:spacing w:line="480" w:lineRule="auto"/>
        <w:ind w:left="709" w:hanging="709"/>
        <w:rPr>
          <w:rFonts w:cs="Arial"/>
          <w:lang w:val="en-US"/>
        </w:rPr>
      </w:pPr>
      <w:r w:rsidRPr="009A6F08">
        <w:rPr>
          <w:rFonts w:cs="Arial"/>
          <w:lang w:val="en-US"/>
        </w:rPr>
        <w:t xml:space="preserve">Collantes, F., ‘Places in common: exploring the economic geography of the food system through the case of Spain’s dairy chain’, </w:t>
      </w:r>
      <w:r w:rsidRPr="009A6F08">
        <w:rPr>
          <w:rFonts w:cs="Arial"/>
          <w:i/>
          <w:lang w:val="en-US"/>
        </w:rPr>
        <w:t>The Low Countries Journal of Social and Economic History</w:t>
      </w:r>
      <w:r w:rsidRPr="009A6F08">
        <w:rPr>
          <w:rFonts w:cs="Arial"/>
          <w:lang w:val="en-US"/>
        </w:rPr>
        <w:t>, 13, 4 (2016), pp. 17-40.</w:t>
      </w:r>
    </w:p>
    <w:p w14:paraId="776F7EA5" w14:textId="77777777" w:rsidR="00C60CA9" w:rsidRPr="009A6F08" w:rsidRDefault="00C60CA9" w:rsidP="00C60CA9">
      <w:pPr>
        <w:spacing w:line="480" w:lineRule="auto"/>
        <w:ind w:left="709" w:hanging="709"/>
        <w:rPr>
          <w:rFonts w:cs="Arial"/>
          <w:lang w:val="en-US"/>
        </w:rPr>
      </w:pPr>
      <w:r w:rsidRPr="009A6F08">
        <w:rPr>
          <w:rFonts w:cs="Arial"/>
          <w:lang w:val="en-US"/>
        </w:rPr>
        <w:t xml:space="preserve">Collantes, F., ‘Nutritional transitions and the food system: expensive milk, selective lactophiles and diet change in Spain, 1950-1965’, </w:t>
      </w:r>
      <w:r w:rsidRPr="009A6F08">
        <w:rPr>
          <w:rFonts w:cs="Arial"/>
          <w:i/>
          <w:lang w:val="en-US"/>
        </w:rPr>
        <w:t>Historia Agraria</w:t>
      </w:r>
      <w:r w:rsidRPr="009A6F08">
        <w:rPr>
          <w:rFonts w:cs="Arial"/>
          <w:lang w:val="en-US"/>
        </w:rPr>
        <w:t>, 73 (2017), pp. 119-147.</w:t>
      </w:r>
    </w:p>
    <w:p w14:paraId="0B5A76EE" w14:textId="77777777" w:rsidR="00C60CA9" w:rsidRPr="009A6F08" w:rsidRDefault="00C60CA9" w:rsidP="00C60CA9">
      <w:pPr>
        <w:spacing w:line="480" w:lineRule="auto"/>
        <w:ind w:left="709" w:hanging="709"/>
        <w:rPr>
          <w:rFonts w:cs="Arial"/>
          <w:lang w:val="en-US"/>
        </w:rPr>
      </w:pPr>
      <w:r w:rsidRPr="009A6F08">
        <w:rPr>
          <w:rFonts w:cs="Arial"/>
          <w:lang w:val="en-US"/>
        </w:rPr>
        <w:t xml:space="preserve">Collantes, F., ‘“Because they just don’t want to”: dairy consumers, food quality, and Spain’s nutritional transition in the 1950s and early 1960s’, </w:t>
      </w:r>
      <w:r w:rsidRPr="009A6F08">
        <w:rPr>
          <w:rFonts w:cs="Arial"/>
          <w:i/>
          <w:lang w:val="en-US"/>
        </w:rPr>
        <w:t>Agricultural History</w:t>
      </w:r>
      <w:r w:rsidRPr="009A6F08">
        <w:rPr>
          <w:rFonts w:cs="Arial"/>
          <w:lang w:val="en-US"/>
        </w:rPr>
        <w:t>, 91, 4 (2017), pp. 536-553.</w:t>
      </w:r>
    </w:p>
    <w:p w14:paraId="28914D06" w14:textId="77777777" w:rsidR="00C60CA9" w:rsidRPr="009A6F08" w:rsidRDefault="00C60CA9" w:rsidP="00C60CA9">
      <w:pPr>
        <w:spacing w:line="480" w:lineRule="auto"/>
        <w:ind w:left="709" w:hanging="709"/>
        <w:rPr>
          <w:rFonts w:cs="Arial"/>
        </w:rPr>
      </w:pPr>
      <w:r w:rsidRPr="009A6F08">
        <w:rPr>
          <w:rFonts w:cs="Arial"/>
        </w:rPr>
        <w:t xml:space="preserve">Cussó, X., ‘El estado nutritivo de la población española 1900-1970. Análisis de las necesidades y disponibilidades de nutrientes’, </w:t>
      </w:r>
      <w:r w:rsidRPr="009A6F08">
        <w:rPr>
          <w:rFonts w:cs="Arial"/>
          <w:i/>
        </w:rPr>
        <w:t>Historia Agraria</w:t>
      </w:r>
      <w:r w:rsidRPr="009A6F08">
        <w:rPr>
          <w:rFonts w:cs="Arial"/>
        </w:rPr>
        <w:t>, 36 (2005), pp. 329-358.</w:t>
      </w:r>
    </w:p>
    <w:p w14:paraId="69449A5F" w14:textId="77777777" w:rsidR="00C60CA9" w:rsidRPr="009A6F08" w:rsidRDefault="00C60CA9" w:rsidP="00C60CA9">
      <w:pPr>
        <w:spacing w:line="480" w:lineRule="auto"/>
        <w:ind w:left="709" w:hanging="709"/>
        <w:rPr>
          <w:rFonts w:cs="Arial"/>
        </w:rPr>
      </w:pPr>
      <w:r w:rsidRPr="009A6F08">
        <w:rPr>
          <w:rFonts w:cs="Arial"/>
        </w:rPr>
        <w:t xml:space="preserve">Cussó, X. and Garrabou, R., ‘Dieta mediterránea y transición nutricional moderna en España’, in L. Germán, J. Moreno and R. Hernández, eds., </w:t>
      </w:r>
      <w:r w:rsidRPr="009A6F08">
        <w:rPr>
          <w:rFonts w:cs="Arial"/>
          <w:i/>
        </w:rPr>
        <w:t>Economía alimentaria en España durante el siglo XX</w:t>
      </w:r>
      <w:r w:rsidRPr="009A6F08">
        <w:rPr>
          <w:rFonts w:cs="Arial"/>
        </w:rPr>
        <w:t xml:space="preserve"> (Madrid, 2009), pp. 25-63.</w:t>
      </w:r>
    </w:p>
    <w:p w14:paraId="07E31B63" w14:textId="77777777" w:rsidR="00C60CA9" w:rsidRPr="009A6F08" w:rsidRDefault="00C60CA9" w:rsidP="00C60CA9">
      <w:pPr>
        <w:spacing w:line="480" w:lineRule="auto"/>
        <w:ind w:left="709" w:hanging="709"/>
        <w:rPr>
          <w:rFonts w:cs="Arial"/>
          <w:lang w:val="en-US"/>
        </w:rPr>
      </w:pPr>
      <w:r w:rsidRPr="009A6F08">
        <w:rPr>
          <w:rFonts w:cs="Arial"/>
          <w:lang w:val="en-US"/>
        </w:rPr>
        <w:lastRenderedPageBreak/>
        <w:t xml:space="preserve">Dixon, J., ‘From the imperial to the empty calorie: how nutrition relations underpin food regime transitions’, </w:t>
      </w:r>
      <w:r w:rsidRPr="009A6F08">
        <w:rPr>
          <w:rFonts w:cs="Arial"/>
          <w:i/>
          <w:lang w:val="en-US"/>
        </w:rPr>
        <w:t>Agriculture and Human Values</w:t>
      </w:r>
      <w:r w:rsidRPr="009A6F08">
        <w:rPr>
          <w:rFonts w:cs="Arial"/>
          <w:lang w:val="en-US"/>
        </w:rPr>
        <w:t>, 26, 4 (2009), pp. 321-333.</w:t>
      </w:r>
    </w:p>
    <w:p w14:paraId="2E9E5585" w14:textId="77777777" w:rsidR="00C60CA9" w:rsidRPr="009A6F08" w:rsidRDefault="00C60CA9" w:rsidP="00C60CA9">
      <w:pPr>
        <w:spacing w:line="480" w:lineRule="auto"/>
        <w:ind w:left="709" w:hanging="709"/>
        <w:rPr>
          <w:rFonts w:cs="Arial"/>
        </w:rPr>
      </w:pPr>
      <w:r w:rsidRPr="009A6F08">
        <w:rPr>
          <w:rFonts w:cs="Arial"/>
        </w:rPr>
        <w:t xml:space="preserve">Domínguez, R., ‘La industria láctea en España, 1830-1985’, in C. Barciela and A. di Vittorio, eds., </w:t>
      </w:r>
      <w:r w:rsidRPr="009A6F08">
        <w:rPr>
          <w:rFonts w:cs="Arial"/>
          <w:i/>
        </w:rPr>
        <w:t>Las industrias agroalimentarias en Italia y España durante los siglos XIX y XX</w:t>
      </w:r>
      <w:r w:rsidRPr="009A6F08">
        <w:rPr>
          <w:rFonts w:cs="Arial"/>
        </w:rPr>
        <w:t xml:space="preserve"> (Alicante, 2003), pp. 457-495.</w:t>
      </w:r>
    </w:p>
    <w:p w14:paraId="0B439DC5" w14:textId="77777777" w:rsidR="00C60CA9" w:rsidRPr="009A6F08" w:rsidRDefault="00C60CA9" w:rsidP="00C60CA9">
      <w:pPr>
        <w:spacing w:line="480" w:lineRule="auto"/>
        <w:ind w:left="709" w:hanging="709"/>
        <w:rPr>
          <w:rFonts w:cs="Arial"/>
          <w:lang w:val="en-US"/>
        </w:rPr>
      </w:pPr>
      <w:r w:rsidRPr="009A6F08">
        <w:rPr>
          <w:rFonts w:cs="Arial"/>
          <w:lang w:val="en-US"/>
        </w:rPr>
        <w:t xml:space="preserve">DuPuis, E. M., </w:t>
      </w:r>
      <w:r w:rsidRPr="009A6F08">
        <w:rPr>
          <w:rFonts w:cs="Arial"/>
          <w:i/>
          <w:lang w:val="en-US"/>
        </w:rPr>
        <w:t>Nature’s perfect food: how milk became America’s drink</w:t>
      </w:r>
      <w:r w:rsidRPr="009A6F08">
        <w:rPr>
          <w:rFonts w:cs="Arial"/>
          <w:lang w:val="en-US"/>
        </w:rPr>
        <w:t xml:space="preserve"> (New York, 2002).</w:t>
      </w:r>
    </w:p>
    <w:p w14:paraId="3C0848DC" w14:textId="77777777" w:rsidR="00C60CA9" w:rsidRPr="009A6F08" w:rsidRDefault="00C60CA9" w:rsidP="00C60CA9">
      <w:pPr>
        <w:spacing w:line="480" w:lineRule="auto"/>
        <w:ind w:left="709" w:hanging="709"/>
        <w:rPr>
          <w:rStyle w:val="apple-converted-space"/>
          <w:rFonts w:cs="Arial"/>
          <w:shd w:val="clear" w:color="auto" w:fill="FFFFFF"/>
          <w:lang w:val="en-US"/>
        </w:rPr>
      </w:pPr>
      <w:r w:rsidRPr="009A6F08">
        <w:rPr>
          <w:rFonts w:cs="Arial"/>
          <w:lang w:val="en-US"/>
        </w:rPr>
        <w:t>Freeman, C. and Louç</w:t>
      </w:r>
      <w:r w:rsidRPr="009A6F08">
        <w:rPr>
          <w:rFonts w:cs="Arial"/>
          <w:shd w:val="clear" w:color="auto" w:fill="FFFFFF"/>
          <w:lang w:val="en-US"/>
        </w:rPr>
        <w:t>ã</w:t>
      </w:r>
      <w:r w:rsidRPr="009A6F08">
        <w:rPr>
          <w:rStyle w:val="apple-converted-space"/>
          <w:rFonts w:cs="Arial"/>
          <w:shd w:val="clear" w:color="auto" w:fill="FFFFFF"/>
          <w:lang w:val="en-US"/>
        </w:rPr>
        <w:t xml:space="preserve">, F., </w:t>
      </w:r>
      <w:r w:rsidRPr="009A6F08">
        <w:rPr>
          <w:rStyle w:val="apple-converted-space"/>
          <w:rFonts w:cs="Arial"/>
          <w:i/>
          <w:shd w:val="clear" w:color="auto" w:fill="FFFFFF"/>
          <w:lang w:val="en-US"/>
        </w:rPr>
        <w:t xml:space="preserve">As time goes </w:t>
      </w:r>
      <w:proofErr w:type="gramStart"/>
      <w:r w:rsidRPr="009A6F08">
        <w:rPr>
          <w:rStyle w:val="apple-converted-space"/>
          <w:rFonts w:cs="Arial"/>
          <w:i/>
          <w:shd w:val="clear" w:color="auto" w:fill="FFFFFF"/>
          <w:lang w:val="en-US"/>
        </w:rPr>
        <w:t>by:</w:t>
      </w:r>
      <w:proofErr w:type="gramEnd"/>
      <w:r w:rsidRPr="009A6F08">
        <w:rPr>
          <w:rStyle w:val="apple-converted-space"/>
          <w:rFonts w:cs="Arial"/>
          <w:i/>
          <w:shd w:val="clear" w:color="auto" w:fill="FFFFFF"/>
          <w:lang w:val="en-US"/>
        </w:rPr>
        <w:t xml:space="preserve"> from the industrial revolutions to the information revolution</w:t>
      </w:r>
      <w:r w:rsidRPr="009A6F08">
        <w:rPr>
          <w:rStyle w:val="apple-converted-space"/>
          <w:rFonts w:cs="Arial"/>
          <w:shd w:val="clear" w:color="auto" w:fill="FFFFFF"/>
          <w:lang w:val="en-US"/>
        </w:rPr>
        <w:t xml:space="preserve"> (Oxford, 2001).</w:t>
      </w:r>
    </w:p>
    <w:p w14:paraId="24E005E7" w14:textId="77777777" w:rsidR="00C60CA9" w:rsidRPr="009A6F08" w:rsidRDefault="00C60CA9" w:rsidP="00C60CA9">
      <w:pPr>
        <w:spacing w:line="480" w:lineRule="auto"/>
        <w:ind w:left="709" w:hanging="709"/>
        <w:rPr>
          <w:rFonts w:cs="Arial"/>
          <w:lang w:val="en-US"/>
        </w:rPr>
      </w:pPr>
      <w:r w:rsidRPr="009A6F08">
        <w:rPr>
          <w:rStyle w:val="apple-converted-space"/>
          <w:rFonts w:cs="Arial"/>
          <w:shd w:val="clear" w:color="auto" w:fill="FFFFFF"/>
          <w:lang w:val="en-US"/>
        </w:rPr>
        <w:t xml:space="preserve">Friedmann, H., ‘Commentary: food regime analysis and agrarian questions: widening the conversation’, </w:t>
      </w:r>
      <w:r w:rsidRPr="009A6F08">
        <w:rPr>
          <w:rStyle w:val="apple-converted-space"/>
          <w:rFonts w:cs="Arial"/>
          <w:i/>
          <w:shd w:val="clear" w:color="auto" w:fill="FFFFFF"/>
          <w:lang w:val="en-US"/>
        </w:rPr>
        <w:t>Journal of Peasant Studies</w:t>
      </w:r>
      <w:r w:rsidRPr="009A6F08">
        <w:rPr>
          <w:rStyle w:val="apple-converted-space"/>
          <w:rFonts w:cs="Arial"/>
          <w:shd w:val="clear" w:color="auto" w:fill="FFFFFF"/>
          <w:lang w:val="en-US"/>
        </w:rPr>
        <w:t>, 43, 3 (2016), pp. 671-692.</w:t>
      </w:r>
    </w:p>
    <w:p w14:paraId="414F2A90" w14:textId="77777777" w:rsidR="00C60CA9" w:rsidRPr="009A6F08" w:rsidRDefault="00C60CA9" w:rsidP="00C60CA9">
      <w:pPr>
        <w:spacing w:line="480" w:lineRule="auto"/>
        <w:ind w:left="709" w:hanging="709"/>
        <w:rPr>
          <w:rFonts w:cs="Arial"/>
          <w:lang w:val="en-US"/>
        </w:rPr>
      </w:pPr>
      <w:r w:rsidRPr="009A6F08">
        <w:rPr>
          <w:rFonts w:cs="Arial"/>
          <w:lang w:val="en-US"/>
        </w:rPr>
        <w:t xml:space="preserve">Friedmann, H. and McMichael, P., </w:t>
      </w:r>
      <w:proofErr w:type="gramStart"/>
      <w:r w:rsidRPr="009A6F08">
        <w:rPr>
          <w:rFonts w:cs="Arial"/>
          <w:lang w:val="en-US"/>
        </w:rPr>
        <w:t>Agriculture</w:t>
      </w:r>
      <w:proofErr w:type="gramEnd"/>
      <w:r w:rsidRPr="009A6F08">
        <w:rPr>
          <w:rFonts w:cs="Arial"/>
          <w:lang w:val="en-US"/>
        </w:rPr>
        <w:t xml:space="preserve"> and the state system: the rise and decline of national agricultures, 1870 to the present’, </w:t>
      </w:r>
      <w:r w:rsidRPr="009A6F08">
        <w:rPr>
          <w:rFonts w:cs="Arial"/>
          <w:i/>
          <w:lang w:val="en-US"/>
        </w:rPr>
        <w:t>Sociologia Ruralis</w:t>
      </w:r>
      <w:r w:rsidRPr="009A6F08">
        <w:rPr>
          <w:rFonts w:cs="Arial"/>
          <w:lang w:val="en-US"/>
        </w:rPr>
        <w:t>, 29, 2 (1989), pp. 93-117.</w:t>
      </w:r>
    </w:p>
    <w:p w14:paraId="1520A045" w14:textId="77777777" w:rsidR="00C60CA9" w:rsidRPr="009A6F08" w:rsidRDefault="00C60CA9" w:rsidP="00C60CA9">
      <w:pPr>
        <w:spacing w:line="480" w:lineRule="auto"/>
        <w:ind w:left="709" w:hanging="709"/>
        <w:rPr>
          <w:rFonts w:cs="Arial"/>
        </w:rPr>
      </w:pPr>
      <w:r w:rsidRPr="009A6F08">
        <w:rPr>
          <w:rFonts w:cs="Arial"/>
        </w:rPr>
        <w:t xml:space="preserve">Gallego, D., ‘Obstáculos comerciales y salariales a la transición nutricional en la España de comienzos del siglo XX’, </w:t>
      </w:r>
      <w:r w:rsidRPr="009A6F08">
        <w:rPr>
          <w:rFonts w:cs="Arial"/>
          <w:i/>
        </w:rPr>
        <w:t>Investigaciones de Historia Económica</w:t>
      </w:r>
      <w:r w:rsidRPr="009A6F08">
        <w:rPr>
          <w:rFonts w:cs="Arial"/>
        </w:rPr>
        <w:t>, 12, 3 (2016), pp. 154-164.</w:t>
      </w:r>
    </w:p>
    <w:p w14:paraId="1FB13542" w14:textId="77777777" w:rsidR="00C60CA9" w:rsidRPr="009A6F08" w:rsidRDefault="00C60CA9" w:rsidP="00C60CA9">
      <w:pPr>
        <w:spacing w:line="480" w:lineRule="auto"/>
        <w:ind w:left="709" w:hanging="709"/>
        <w:rPr>
          <w:rFonts w:cs="Arial"/>
        </w:rPr>
      </w:pPr>
      <w:r w:rsidRPr="009A6F08">
        <w:rPr>
          <w:rFonts w:cs="Arial"/>
        </w:rPr>
        <w:t xml:space="preserve">Germán, L., ‘De la historia agraria a la historia de la economía alimentaria’, in L. Germán, J. Moreno and R. Hernández (eds.), </w:t>
      </w:r>
      <w:r w:rsidRPr="009A6F08">
        <w:rPr>
          <w:rFonts w:cs="Arial"/>
          <w:i/>
        </w:rPr>
        <w:t>Economía alimentaria en España durante el siglo XX</w:t>
      </w:r>
      <w:r w:rsidRPr="009A6F08">
        <w:rPr>
          <w:rFonts w:cs="Arial"/>
        </w:rPr>
        <w:t xml:space="preserve"> (Madrid, 2009), pp. 7-23.</w:t>
      </w:r>
    </w:p>
    <w:p w14:paraId="6C54F5AC" w14:textId="77777777" w:rsidR="00C60CA9" w:rsidRPr="009A6F08" w:rsidRDefault="00C60CA9" w:rsidP="00C60CA9">
      <w:pPr>
        <w:spacing w:line="480" w:lineRule="auto"/>
        <w:ind w:left="709" w:hanging="709"/>
        <w:rPr>
          <w:rFonts w:cs="Arial"/>
          <w:lang w:val="en-US"/>
        </w:rPr>
      </w:pPr>
      <w:r w:rsidRPr="009A6F08">
        <w:rPr>
          <w:rFonts w:cs="Arial"/>
          <w:lang w:val="en-US"/>
        </w:rPr>
        <w:t xml:space="preserve">Goodman, D. and Redclift, M., ‘Modernisation and the international food system: re-articulation or resistence?’, in C. Sarasúa, P. Scholliers y L. van Molle, </w:t>
      </w:r>
      <w:r w:rsidRPr="009A6F08">
        <w:rPr>
          <w:rFonts w:cs="Arial"/>
          <w:lang w:val="en-US"/>
        </w:rPr>
        <w:lastRenderedPageBreak/>
        <w:t xml:space="preserve">eds., </w:t>
      </w:r>
      <w:r w:rsidRPr="009A6F08">
        <w:rPr>
          <w:rFonts w:cs="Arial"/>
          <w:i/>
          <w:lang w:val="en-US"/>
        </w:rPr>
        <w:t>Land, shops and kitchens: technology and the food chain in twentieth-century Europe</w:t>
      </w:r>
      <w:r w:rsidRPr="009A6F08">
        <w:rPr>
          <w:rFonts w:cs="Arial"/>
          <w:lang w:val="en-US"/>
        </w:rPr>
        <w:t xml:space="preserve"> (Turnhout, 2005), pp. 120-138.</w:t>
      </w:r>
    </w:p>
    <w:p w14:paraId="1261B961" w14:textId="77777777" w:rsidR="00C60CA9" w:rsidRPr="009A6F08" w:rsidRDefault="00C60CA9" w:rsidP="00C60CA9">
      <w:pPr>
        <w:spacing w:line="480" w:lineRule="auto"/>
        <w:ind w:left="709" w:hanging="709"/>
        <w:rPr>
          <w:rFonts w:cs="Arial"/>
          <w:lang w:val="en-US"/>
        </w:rPr>
      </w:pPr>
      <w:r w:rsidRPr="009A6F08">
        <w:rPr>
          <w:rFonts w:cs="Arial"/>
          <w:lang w:val="en-US"/>
        </w:rPr>
        <w:t xml:space="preserve">Granovetter, M., ‘Economic action and social structure: the problem of embeddedness’, </w:t>
      </w:r>
      <w:r w:rsidRPr="009A6F08">
        <w:rPr>
          <w:rFonts w:cs="Arial"/>
          <w:i/>
          <w:lang w:val="en-US"/>
        </w:rPr>
        <w:t>American Journal of Sociology</w:t>
      </w:r>
      <w:r w:rsidRPr="009A6F08">
        <w:rPr>
          <w:rFonts w:cs="Arial"/>
          <w:lang w:val="en-US"/>
        </w:rPr>
        <w:t>, 91, 3 (1985), pp. 481-510.</w:t>
      </w:r>
    </w:p>
    <w:p w14:paraId="4A11754F" w14:textId="77777777" w:rsidR="00C60CA9" w:rsidRPr="009A6F08" w:rsidRDefault="00C60CA9" w:rsidP="00C60CA9">
      <w:pPr>
        <w:spacing w:line="480" w:lineRule="auto"/>
        <w:ind w:left="709" w:hanging="709"/>
        <w:rPr>
          <w:rFonts w:cs="Arial"/>
          <w:lang w:val="en-US"/>
        </w:rPr>
      </w:pPr>
      <w:r w:rsidRPr="009A6F08">
        <w:rPr>
          <w:rFonts w:cs="Arial"/>
          <w:lang w:val="en-US"/>
        </w:rPr>
        <w:t xml:space="preserve">Grigg, D., ’The nutritional transition in Western Europe’, </w:t>
      </w:r>
      <w:r w:rsidRPr="009A6F08">
        <w:rPr>
          <w:rFonts w:cs="Arial"/>
          <w:i/>
          <w:lang w:val="en-US"/>
        </w:rPr>
        <w:t>Journal of Historical Geography</w:t>
      </w:r>
      <w:r w:rsidRPr="009A6F08">
        <w:rPr>
          <w:rFonts w:cs="Arial"/>
          <w:lang w:val="en-US"/>
        </w:rPr>
        <w:t>, 22, 1 (1995), pp. 247-261.</w:t>
      </w:r>
    </w:p>
    <w:p w14:paraId="1ACE44F2" w14:textId="77777777" w:rsidR="00C60CA9" w:rsidRPr="009A6F08" w:rsidRDefault="00C60CA9" w:rsidP="00C60CA9">
      <w:pPr>
        <w:spacing w:line="480" w:lineRule="auto"/>
        <w:ind w:left="709" w:hanging="709"/>
        <w:rPr>
          <w:rFonts w:cs="Arial"/>
          <w:lang w:val="en-US"/>
        </w:rPr>
      </w:pPr>
      <w:r w:rsidRPr="009A6F08">
        <w:rPr>
          <w:rFonts w:cs="Arial"/>
          <w:lang w:val="en-US"/>
        </w:rPr>
        <w:t xml:space="preserve">Grigg, D., ‘The changing geography of world food consumption in the second half of the twentieth century’, </w:t>
      </w:r>
      <w:r w:rsidRPr="009A6F08">
        <w:rPr>
          <w:rFonts w:cs="Arial"/>
          <w:i/>
          <w:lang w:val="en-US"/>
        </w:rPr>
        <w:t>Geographical Journal</w:t>
      </w:r>
      <w:r w:rsidRPr="009A6F08">
        <w:rPr>
          <w:rFonts w:cs="Arial"/>
          <w:lang w:val="en-US"/>
        </w:rPr>
        <w:t>, 165, 1 (1999), pp. 1-11.</w:t>
      </w:r>
    </w:p>
    <w:p w14:paraId="7637CB4E" w14:textId="77777777" w:rsidR="00C60CA9" w:rsidRPr="009A6F08" w:rsidRDefault="00C60CA9" w:rsidP="00C60CA9">
      <w:pPr>
        <w:spacing w:line="480" w:lineRule="auto"/>
        <w:ind w:left="709" w:hanging="709"/>
        <w:rPr>
          <w:rFonts w:cs="Arial"/>
          <w:lang w:val="en-US"/>
        </w:rPr>
      </w:pPr>
      <w:r w:rsidRPr="009A6F08">
        <w:rPr>
          <w:rFonts w:cs="Arial"/>
          <w:lang w:val="en-US"/>
        </w:rPr>
        <w:t xml:space="preserve">Hamilton, S., ‘Analyzing commodity chains: linkages or restraints?’, in W. Belasco and R. Horowitz, eds., </w:t>
      </w:r>
      <w:r w:rsidRPr="009A6F08">
        <w:rPr>
          <w:rFonts w:cs="Arial"/>
          <w:i/>
          <w:lang w:val="en-US"/>
        </w:rPr>
        <w:t>Food chains: from farmyard to shopping cart</w:t>
      </w:r>
      <w:r w:rsidRPr="009A6F08">
        <w:rPr>
          <w:rFonts w:cs="Arial"/>
          <w:lang w:val="en-US"/>
        </w:rPr>
        <w:t xml:space="preserve"> (Philadelphia, 2008), pp. 16-26.</w:t>
      </w:r>
    </w:p>
    <w:p w14:paraId="557F75E8" w14:textId="77777777" w:rsidR="00C60CA9" w:rsidRPr="009A6F08" w:rsidRDefault="00C60CA9" w:rsidP="00C60CA9">
      <w:pPr>
        <w:spacing w:line="480" w:lineRule="auto"/>
        <w:ind w:left="709" w:hanging="709"/>
        <w:rPr>
          <w:rFonts w:cs="Arial"/>
          <w:lang w:val="en-US"/>
        </w:rPr>
      </w:pPr>
      <w:r w:rsidRPr="009A6F08">
        <w:rPr>
          <w:rFonts w:cs="Arial"/>
          <w:lang w:val="en-US"/>
        </w:rPr>
        <w:t xml:space="preserve">Hellmich, S. N., ‘What is socioeconomics? An overview of theories, methods, and themes in the field’, </w:t>
      </w:r>
      <w:r w:rsidRPr="009A6F08">
        <w:rPr>
          <w:rFonts w:cs="Arial"/>
          <w:i/>
          <w:lang w:val="en-US"/>
        </w:rPr>
        <w:t>Forum for Social Economics</w:t>
      </w:r>
      <w:r w:rsidRPr="009A6F08">
        <w:rPr>
          <w:rFonts w:cs="Arial"/>
          <w:lang w:val="en-US"/>
        </w:rPr>
        <w:t>, 46, 1 (2017), pp. 3-25.</w:t>
      </w:r>
    </w:p>
    <w:p w14:paraId="15DB27D1" w14:textId="77777777" w:rsidR="00C60CA9" w:rsidRPr="009A6F08" w:rsidRDefault="00C60CA9" w:rsidP="00C60CA9">
      <w:pPr>
        <w:spacing w:line="480" w:lineRule="auto"/>
        <w:ind w:left="709" w:hanging="709"/>
        <w:rPr>
          <w:rFonts w:cs="Arial"/>
        </w:rPr>
      </w:pPr>
      <w:r w:rsidRPr="009A6F08">
        <w:rPr>
          <w:rFonts w:cs="Arial"/>
        </w:rPr>
        <w:t>Hernández Adell, I., ‘La difusión de un nuevo alimento: producción y consumo de leche en España, 1865-1936’ (Ph.D. thesis, Universitat Autónoma de Barcelona, 2012).</w:t>
      </w:r>
    </w:p>
    <w:p w14:paraId="13932AEF" w14:textId="77777777" w:rsidR="00C60CA9" w:rsidRPr="009A6F08" w:rsidRDefault="00C60CA9" w:rsidP="00C60CA9">
      <w:pPr>
        <w:spacing w:line="480" w:lineRule="auto"/>
        <w:ind w:left="709" w:hanging="709"/>
        <w:rPr>
          <w:rFonts w:cs="Arial"/>
        </w:rPr>
      </w:pPr>
      <w:r w:rsidRPr="009A6F08">
        <w:rPr>
          <w:rFonts w:cs="Arial"/>
          <w:i/>
        </w:rPr>
        <w:t>ILE</w:t>
      </w:r>
      <w:r w:rsidRPr="009A6F08">
        <w:rPr>
          <w:rFonts w:cs="Arial"/>
        </w:rPr>
        <w:t xml:space="preserve"> [</w:t>
      </w:r>
      <w:r w:rsidRPr="009A6F08">
        <w:rPr>
          <w:rFonts w:cs="Arial"/>
          <w:i/>
        </w:rPr>
        <w:t>Industrias Lácteas Españolas</w:t>
      </w:r>
      <w:r w:rsidRPr="009A6F08">
        <w:rPr>
          <w:rFonts w:cs="Arial"/>
        </w:rPr>
        <w:t xml:space="preserve">], ‘Éxito de las V Jornadas Lactológicas’, </w:t>
      </w:r>
      <w:r w:rsidRPr="009A6F08">
        <w:rPr>
          <w:rFonts w:cs="Arial"/>
          <w:i/>
        </w:rPr>
        <w:t>Industrias Lácteas Españolas</w:t>
      </w:r>
      <w:r w:rsidRPr="009A6F08">
        <w:rPr>
          <w:rFonts w:cs="Arial"/>
        </w:rPr>
        <w:t>, 93 (1986), pp. 9-24.</w:t>
      </w:r>
    </w:p>
    <w:p w14:paraId="0FE2DA89" w14:textId="77777777" w:rsidR="00C60CA9" w:rsidRPr="009A6F08" w:rsidRDefault="00C60CA9" w:rsidP="00C60CA9">
      <w:pPr>
        <w:spacing w:line="480" w:lineRule="auto"/>
        <w:ind w:left="709" w:hanging="709"/>
        <w:rPr>
          <w:rFonts w:cs="Arial"/>
        </w:rPr>
      </w:pPr>
      <w:r w:rsidRPr="009A6F08">
        <w:rPr>
          <w:rFonts w:cs="Arial"/>
        </w:rPr>
        <w:t xml:space="preserve">Lacasa, A., ‘La publicidad y su importancia en el conjunto de productos lácteos’, </w:t>
      </w:r>
      <w:r w:rsidRPr="009A6F08">
        <w:rPr>
          <w:rFonts w:cs="Arial"/>
          <w:i/>
        </w:rPr>
        <w:t>Revista Española de Lechería</w:t>
      </w:r>
      <w:r w:rsidRPr="009A6F08">
        <w:rPr>
          <w:rFonts w:cs="Arial"/>
        </w:rPr>
        <w:t>, 14 (1990), pp. 17-26.</w:t>
      </w:r>
    </w:p>
    <w:p w14:paraId="0CE666BB" w14:textId="77777777" w:rsidR="00C60CA9" w:rsidRPr="009A6F08" w:rsidRDefault="00C60CA9" w:rsidP="00C60CA9">
      <w:pPr>
        <w:spacing w:line="480" w:lineRule="auto"/>
        <w:ind w:left="709" w:hanging="709"/>
        <w:rPr>
          <w:rFonts w:cs="Arial"/>
        </w:rPr>
      </w:pPr>
      <w:r w:rsidRPr="009A6F08">
        <w:rPr>
          <w:rFonts w:cs="Arial"/>
        </w:rPr>
        <w:t xml:space="preserve">Langreo, A., </w:t>
      </w:r>
      <w:r w:rsidRPr="009A6F08">
        <w:rPr>
          <w:rFonts w:cs="Arial"/>
          <w:i/>
        </w:rPr>
        <w:t>Historia de la industria láctea española: una aplicación a Asturias</w:t>
      </w:r>
      <w:r w:rsidRPr="009A6F08">
        <w:rPr>
          <w:rFonts w:cs="Arial"/>
        </w:rPr>
        <w:t xml:space="preserve"> (Madrid, 1995).</w:t>
      </w:r>
    </w:p>
    <w:p w14:paraId="7DFFC6CE" w14:textId="77777777" w:rsidR="00C60CA9" w:rsidRPr="009A6F08" w:rsidRDefault="00C60CA9" w:rsidP="00C60CA9">
      <w:pPr>
        <w:spacing w:line="480" w:lineRule="auto"/>
        <w:ind w:left="709" w:hanging="709"/>
        <w:rPr>
          <w:rFonts w:cs="Arial"/>
          <w:lang w:val="en-US"/>
        </w:rPr>
      </w:pPr>
      <w:r w:rsidRPr="009A6F08">
        <w:rPr>
          <w:rFonts w:cs="Arial"/>
          <w:lang w:val="en-US"/>
        </w:rPr>
        <w:t xml:space="preserve">Magnan, A., ‘Food regimes’, in J. M. Pilcher, ed., </w:t>
      </w:r>
      <w:r w:rsidRPr="009A6F08">
        <w:rPr>
          <w:rFonts w:cs="Arial"/>
          <w:i/>
          <w:lang w:val="en-US"/>
        </w:rPr>
        <w:t>The Oxford handbook of food history</w:t>
      </w:r>
      <w:r w:rsidRPr="009A6F08">
        <w:rPr>
          <w:rFonts w:cs="Arial"/>
          <w:lang w:val="en-US"/>
        </w:rPr>
        <w:t xml:space="preserve"> (New York, 2012), pp. 370-388.</w:t>
      </w:r>
    </w:p>
    <w:p w14:paraId="587AD9DA" w14:textId="77777777" w:rsidR="00C60CA9" w:rsidRPr="009A6F08" w:rsidRDefault="00C60CA9" w:rsidP="00C60CA9">
      <w:pPr>
        <w:spacing w:line="480" w:lineRule="auto"/>
        <w:ind w:left="709" w:hanging="709"/>
        <w:rPr>
          <w:rFonts w:cs="Arial"/>
          <w:lang w:val="fr-FR"/>
        </w:rPr>
      </w:pPr>
      <w:r w:rsidRPr="009A6F08">
        <w:rPr>
          <w:rFonts w:cs="Arial"/>
          <w:lang w:val="fr-FR"/>
        </w:rPr>
        <w:lastRenderedPageBreak/>
        <w:t xml:space="preserve">Malassis, L., </w:t>
      </w:r>
      <w:r w:rsidRPr="009A6F08">
        <w:rPr>
          <w:rFonts w:cs="Arial"/>
          <w:i/>
          <w:lang w:val="fr-FR"/>
        </w:rPr>
        <w:t xml:space="preserve">Les trois âges de </w:t>
      </w:r>
      <w:proofErr w:type="gramStart"/>
      <w:r w:rsidRPr="009A6F08">
        <w:rPr>
          <w:rFonts w:cs="Arial"/>
          <w:i/>
          <w:lang w:val="fr-FR"/>
        </w:rPr>
        <w:t>l’alimentaire:</w:t>
      </w:r>
      <w:proofErr w:type="gramEnd"/>
      <w:r w:rsidRPr="009A6F08">
        <w:rPr>
          <w:rFonts w:cs="Arial"/>
          <w:i/>
          <w:lang w:val="fr-FR"/>
        </w:rPr>
        <w:t xml:space="preserve"> essai sur une histoire sociale de l’alimentation et de l’agriculture</w:t>
      </w:r>
      <w:r w:rsidRPr="009A6F08">
        <w:rPr>
          <w:rFonts w:cs="Arial"/>
          <w:lang w:val="fr-FR"/>
        </w:rPr>
        <w:t xml:space="preserve"> (Paris, 1997).</w:t>
      </w:r>
    </w:p>
    <w:p w14:paraId="7C045456" w14:textId="77777777" w:rsidR="00C60CA9" w:rsidRPr="009A6F08" w:rsidRDefault="00C60CA9" w:rsidP="00C60CA9">
      <w:pPr>
        <w:spacing w:line="480" w:lineRule="auto"/>
        <w:ind w:left="709" w:hanging="709"/>
        <w:rPr>
          <w:rFonts w:cs="Arial"/>
        </w:rPr>
      </w:pPr>
      <w:r w:rsidRPr="009A6F08">
        <w:rPr>
          <w:rFonts w:cs="Arial"/>
          <w:lang w:val="fr-FR"/>
        </w:rPr>
        <w:t xml:space="preserve">Malassis, L. and Padilla, M., </w:t>
      </w:r>
      <w:r w:rsidRPr="009A6F08">
        <w:rPr>
          <w:rFonts w:cs="Arial"/>
          <w:i/>
          <w:lang w:val="fr-FR"/>
        </w:rPr>
        <w:t xml:space="preserve">Économie agro-alimentaire, III. </w:t>
      </w:r>
      <w:r w:rsidRPr="009A6F08">
        <w:rPr>
          <w:rFonts w:cs="Arial"/>
          <w:i/>
        </w:rPr>
        <w:t>L’économie mondiale</w:t>
      </w:r>
      <w:r w:rsidRPr="009A6F08">
        <w:rPr>
          <w:rFonts w:cs="Arial"/>
        </w:rPr>
        <w:t xml:space="preserve"> (Paris, 1986).</w:t>
      </w:r>
    </w:p>
    <w:p w14:paraId="4D2466C5" w14:textId="77777777" w:rsidR="00C60CA9" w:rsidRPr="009A6F08" w:rsidRDefault="00C60CA9" w:rsidP="00C60CA9">
      <w:pPr>
        <w:spacing w:line="480" w:lineRule="auto"/>
        <w:ind w:left="709" w:hanging="709"/>
        <w:rPr>
          <w:rFonts w:cs="Arial"/>
        </w:rPr>
      </w:pPr>
      <w:r w:rsidRPr="009A6F08">
        <w:rPr>
          <w:rFonts w:cs="Arial"/>
        </w:rPr>
        <w:t xml:space="preserve">Maluquer de Motes, J., ‘Consumo y precios’, in A. Carreras and X. Tafunell, coords., </w:t>
      </w:r>
      <w:r w:rsidRPr="009A6F08">
        <w:rPr>
          <w:rFonts w:cs="Arial"/>
          <w:i/>
        </w:rPr>
        <w:t>Estadísticas históricas de España, siglos XIX-XX</w:t>
      </w:r>
      <w:r w:rsidRPr="009A6F08">
        <w:rPr>
          <w:rFonts w:cs="Arial"/>
        </w:rPr>
        <w:t xml:space="preserve"> (Bilbao, 2005), pp. 1247-1296.</w:t>
      </w:r>
    </w:p>
    <w:p w14:paraId="08877367" w14:textId="77777777" w:rsidR="00C60CA9" w:rsidRPr="009A6F08" w:rsidRDefault="00C60CA9" w:rsidP="00C60CA9">
      <w:pPr>
        <w:spacing w:line="480" w:lineRule="auto"/>
        <w:ind w:left="709" w:hanging="709"/>
        <w:rPr>
          <w:rFonts w:cs="Arial"/>
          <w:lang w:val="en-US"/>
        </w:rPr>
      </w:pPr>
      <w:r w:rsidRPr="009A6F08">
        <w:rPr>
          <w:rFonts w:cs="Arial"/>
          <w:lang w:val="en-US"/>
        </w:rPr>
        <w:t xml:space="preserve">Martin, R. and Sunley, P., ‘Conceptualizing cluster evolution: beyond the life cycle model’, </w:t>
      </w:r>
      <w:r w:rsidRPr="009A6F08">
        <w:rPr>
          <w:rFonts w:cs="Arial"/>
          <w:i/>
          <w:lang w:val="en-US"/>
        </w:rPr>
        <w:t>Regional Studies</w:t>
      </w:r>
      <w:r w:rsidRPr="009A6F08">
        <w:rPr>
          <w:rFonts w:cs="Arial"/>
          <w:lang w:val="en-US"/>
        </w:rPr>
        <w:t>, 45, 10 (2011), pp. 1299-1318.</w:t>
      </w:r>
    </w:p>
    <w:p w14:paraId="4F62F61B" w14:textId="77777777" w:rsidR="00C60CA9" w:rsidRPr="009A6F08" w:rsidRDefault="00C60CA9" w:rsidP="00C60CA9">
      <w:pPr>
        <w:spacing w:line="480" w:lineRule="auto"/>
        <w:ind w:left="709" w:hanging="709"/>
        <w:rPr>
          <w:rFonts w:cs="Arial"/>
        </w:rPr>
      </w:pPr>
      <w:r w:rsidRPr="009A6F08">
        <w:rPr>
          <w:rFonts w:cs="Arial"/>
          <w:lang w:val="en-US"/>
        </w:rPr>
        <w:t xml:space="preserve">Martínez-Carrión, J. M., ‘Living standards, </w:t>
      </w:r>
      <w:proofErr w:type="gramStart"/>
      <w:r w:rsidRPr="009A6F08">
        <w:rPr>
          <w:rFonts w:cs="Arial"/>
          <w:lang w:val="en-US"/>
        </w:rPr>
        <w:t>nutrition</w:t>
      </w:r>
      <w:proofErr w:type="gramEnd"/>
      <w:r w:rsidRPr="009A6F08">
        <w:rPr>
          <w:rFonts w:cs="Arial"/>
          <w:lang w:val="en-US"/>
        </w:rPr>
        <w:t xml:space="preserve"> and inequality in the Spanish industrialisation. </w:t>
      </w:r>
      <w:r w:rsidRPr="009A6F08">
        <w:rPr>
          <w:rFonts w:cs="Arial"/>
        </w:rPr>
        <w:t xml:space="preserve">An anthropometric view’, </w:t>
      </w:r>
      <w:r w:rsidRPr="009A6F08">
        <w:rPr>
          <w:rFonts w:cs="Arial"/>
          <w:i/>
        </w:rPr>
        <w:t>Revista de Historia Industrial</w:t>
      </w:r>
      <w:r w:rsidRPr="009A6F08">
        <w:rPr>
          <w:rFonts w:cs="Arial"/>
        </w:rPr>
        <w:t>, 64 (2016), pp. 11-50.</w:t>
      </w:r>
    </w:p>
    <w:p w14:paraId="228852C9" w14:textId="77777777" w:rsidR="00C60CA9" w:rsidRPr="009A6F08" w:rsidRDefault="00C60CA9" w:rsidP="00C60CA9">
      <w:pPr>
        <w:spacing w:line="480" w:lineRule="auto"/>
        <w:ind w:left="709" w:hanging="709"/>
        <w:rPr>
          <w:rFonts w:cs="Arial"/>
        </w:rPr>
      </w:pPr>
      <w:r w:rsidRPr="009A6F08">
        <w:rPr>
          <w:rFonts w:cs="Arial"/>
        </w:rPr>
        <w:t xml:space="preserve">Martos, P., ‘Las empresas lácteas españolas en la hora de Europa’, </w:t>
      </w:r>
      <w:r w:rsidRPr="009A6F08">
        <w:rPr>
          <w:rFonts w:cs="Arial"/>
          <w:i/>
        </w:rPr>
        <w:t>Industrias Lácteas Españolas</w:t>
      </w:r>
      <w:r w:rsidRPr="009A6F08">
        <w:rPr>
          <w:rFonts w:cs="Arial"/>
        </w:rPr>
        <w:t>, 128 (1989), pp. 35-45.</w:t>
      </w:r>
    </w:p>
    <w:p w14:paraId="62DCAEDA" w14:textId="77777777" w:rsidR="00C60CA9" w:rsidRPr="009A6F08" w:rsidRDefault="00C60CA9" w:rsidP="00C60CA9">
      <w:pPr>
        <w:spacing w:line="480" w:lineRule="auto"/>
        <w:ind w:left="709" w:hanging="709"/>
        <w:rPr>
          <w:rFonts w:cs="Arial"/>
        </w:rPr>
      </w:pPr>
      <w:r w:rsidRPr="009A6F08">
        <w:rPr>
          <w:rFonts w:cs="Arial"/>
        </w:rPr>
        <w:t xml:space="preserve">Martos, P., ‘Las empresas lácteas españolas en la hora europea: mercado y dinamismo industrial’, </w:t>
      </w:r>
      <w:r w:rsidRPr="009A6F08">
        <w:rPr>
          <w:rFonts w:cs="Arial"/>
          <w:i/>
        </w:rPr>
        <w:t>Revista Española de Lechería</w:t>
      </w:r>
      <w:r w:rsidRPr="009A6F08">
        <w:rPr>
          <w:rFonts w:cs="Arial"/>
        </w:rPr>
        <w:t>, 12 (1989), pp. 24-30.</w:t>
      </w:r>
    </w:p>
    <w:p w14:paraId="472CC620" w14:textId="77777777" w:rsidR="00C60CA9" w:rsidRPr="009A6F08" w:rsidRDefault="00C60CA9" w:rsidP="00C60CA9">
      <w:pPr>
        <w:spacing w:line="480" w:lineRule="auto"/>
        <w:ind w:left="709" w:hanging="709"/>
        <w:rPr>
          <w:rFonts w:cs="Arial"/>
        </w:rPr>
      </w:pPr>
      <w:r w:rsidRPr="009A6F08">
        <w:rPr>
          <w:rFonts w:cs="Arial"/>
        </w:rPr>
        <w:t xml:space="preserve">Ministerio de Agricultura, Pesca y Alimentación, ‘Campaña de orientación al consumo de leche pasterizada’, </w:t>
      </w:r>
      <w:r w:rsidRPr="009A6F08">
        <w:rPr>
          <w:rFonts w:cs="Arial"/>
          <w:i/>
        </w:rPr>
        <w:t>Industrias Lácteas Españolas</w:t>
      </w:r>
      <w:r w:rsidRPr="009A6F08">
        <w:rPr>
          <w:rFonts w:cs="Arial"/>
        </w:rPr>
        <w:t>, 56 (1983), pp. 26-27.</w:t>
      </w:r>
    </w:p>
    <w:p w14:paraId="1BB986CE" w14:textId="77777777" w:rsidR="00C60CA9" w:rsidRPr="009A6F08" w:rsidRDefault="00C60CA9" w:rsidP="00C60CA9">
      <w:pPr>
        <w:spacing w:line="480" w:lineRule="auto"/>
        <w:ind w:left="709" w:hanging="709"/>
        <w:rPr>
          <w:rFonts w:cs="Arial"/>
          <w:lang w:val="en-US"/>
        </w:rPr>
      </w:pPr>
      <w:r w:rsidRPr="009A6F08">
        <w:rPr>
          <w:rFonts w:cs="Arial"/>
          <w:lang w:val="en-US"/>
        </w:rPr>
        <w:t xml:space="preserve">Mintz, S. W., </w:t>
      </w:r>
      <w:r w:rsidRPr="009A6F08">
        <w:rPr>
          <w:rFonts w:cs="Arial"/>
          <w:i/>
          <w:lang w:val="en-US"/>
        </w:rPr>
        <w:t>Tasting food, tasting freedom: excursions into eating, culture, and the past</w:t>
      </w:r>
      <w:r w:rsidRPr="009A6F08">
        <w:rPr>
          <w:rFonts w:cs="Arial"/>
          <w:lang w:val="en-US"/>
        </w:rPr>
        <w:t xml:space="preserve"> (Boston, 1996).</w:t>
      </w:r>
    </w:p>
    <w:p w14:paraId="377543C2" w14:textId="77777777" w:rsidR="00C60CA9" w:rsidRPr="009A6F08" w:rsidRDefault="00C60CA9" w:rsidP="00C60CA9">
      <w:pPr>
        <w:spacing w:line="480" w:lineRule="auto"/>
        <w:ind w:left="709" w:hanging="709"/>
        <w:rPr>
          <w:rFonts w:cs="Arial"/>
          <w:lang w:val="en-US"/>
        </w:rPr>
      </w:pPr>
      <w:r w:rsidRPr="009A6F08">
        <w:rPr>
          <w:rFonts w:cs="Arial"/>
          <w:lang w:val="en-US"/>
        </w:rPr>
        <w:t xml:space="preserve">Muñoz Pradas, F., ‘Consumer populations and nutritional transition in Spain in the twentieth century: a methodology for their reconstruction’, </w:t>
      </w:r>
      <w:r w:rsidRPr="009A6F08">
        <w:rPr>
          <w:rFonts w:cs="Arial"/>
          <w:i/>
          <w:lang w:val="en-US"/>
        </w:rPr>
        <w:t>Histoire &amp; Mésure</w:t>
      </w:r>
      <w:r w:rsidRPr="009A6F08">
        <w:rPr>
          <w:rFonts w:cs="Arial"/>
          <w:lang w:val="en-US"/>
        </w:rPr>
        <w:t>, 26, 2 (2011), pp. 131-173.</w:t>
      </w:r>
    </w:p>
    <w:p w14:paraId="28B548C9" w14:textId="77777777" w:rsidR="00C60CA9" w:rsidRPr="009A6F08" w:rsidRDefault="00C60CA9" w:rsidP="00C60CA9">
      <w:pPr>
        <w:spacing w:line="480" w:lineRule="auto"/>
        <w:ind w:left="709" w:hanging="709"/>
        <w:rPr>
          <w:rFonts w:cs="Arial"/>
        </w:rPr>
      </w:pPr>
      <w:r w:rsidRPr="009A6F08">
        <w:rPr>
          <w:rFonts w:cs="Arial"/>
        </w:rPr>
        <w:lastRenderedPageBreak/>
        <w:t xml:space="preserve">Naredo, J. M., </w:t>
      </w:r>
      <w:r w:rsidRPr="009A6F08">
        <w:rPr>
          <w:rFonts w:cs="Arial"/>
          <w:i/>
        </w:rPr>
        <w:t>La evolución de la agricultura en España</w:t>
      </w:r>
      <w:r w:rsidRPr="009A6F08">
        <w:rPr>
          <w:rFonts w:cs="Arial"/>
        </w:rPr>
        <w:t xml:space="preserve"> (Barcelona, 1971).</w:t>
      </w:r>
    </w:p>
    <w:p w14:paraId="4DB622A8" w14:textId="77777777" w:rsidR="00C60CA9" w:rsidRPr="009A6F08" w:rsidRDefault="00C60CA9" w:rsidP="00C60CA9">
      <w:pPr>
        <w:spacing w:line="480" w:lineRule="auto"/>
        <w:ind w:left="709" w:hanging="709"/>
        <w:rPr>
          <w:rFonts w:cs="Arial"/>
        </w:rPr>
      </w:pPr>
      <w:r w:rsidRPr="009A6F08">
        <w:rPr>
          <w:rFonts w:cs="Arial"/>
        </w:rPr>
        <w:t xml:space="preserve">Nicolau, R., ‘Población, salud y actividad’, in A. Carreras and X. Tafunell, coords., </w:t>
      </w:r>
      <w:r w:rsidRPr="009A6F08">
        <w:rPr>
          <w:rFonts w:cs="Arial"/>
          <w:i/>
        </w:rPr>
        <w:t>Estadísticas históricas de España, siglos XIX-XX</w:t>
      </w:r>
      <w:r w:rsidRPr="009A6F08">
        <w:rPr>
          <w:rFonts w:cs="Arial"/>
        </w:rPr>
        <w:t xml:space="preserve"> (Bilbao, 2005), pp. 77-154.</w:t>
      </w:r>
    </w:p>
    <w:p w14:paraId="5F5C667D" w14:textId="77777777" w:rsidR="00C60CA9" w:rsidRPr="009A6F08" w:rsidRDefault="00C60CA9" w:rsidP="00C60CA9">
      <w:pPr>
        <w:spacing w:line="480" w:lineRule="auto"/>
        <w:ind w:left="709" w:hanging="709"/>
        <w:rPr>
          <w:rFonts w:cs="Arial"/>
        </w:rPr>
      </w:pPr>
      <w:r w:rsidRPr="009A6F08">
        <w:rPr>
          <w:rFonts w:cs="Arial"/>
        </w:rPr>
        <w:t xml:space="preserve">Nicolau, R. and Pujol, J., ‘Variaciones regionales de los precios de consumo y de las dietas en España, en los inicios de la transición demográfica’, </w:t>
      </w:r>
      <w:r w:rsidRPr="009A6F08">
        <w:rPr>
          <w:rFonts w:cs="Arial"/>
          <w:i/>
        </w:rPr>
        <w:t>Revista de Historia Económica</w:t>
      </w:r>
      <w:r w:rsidRPr="009A6F08">
        <w:rPr>
          <w:rFonts w:cs="Arial"/>
        </w:rPr>
        <w:t>, 24, 3 (2006), pp. 521-553.</w:t>
      </w:r>
    </w:p>
    <w:p w14:paraId="76D4B2FB" w14:textId="77777777" w:rsidR="00C60CA9" w:rsidRPr="009A6F08" w:rsidRDefault="00C60CA9" w:rsidP="00C60CA9">
      <w:pPr>
        <w:spacing w:line="480" w:lineRule="auto"/>
        <w:ind w:left="709" w:hanging="709"/>
        <w:rPr>
          <w:rFonts w:cs="Arial"/>
          <w:lang w:val="en-US"/>
        </w:rPr>
      </w:pPr>
      <w:r w:rsidRPr="009A6F08">
        <w:rPr>
          <w:rFonts w:cs="Arial"/>
          <w:lang w:val="en-US"/>
        </w:rPr>
        <w:t xml:space="preserve">Pérez-Castroviejo, P. M., ‘Biological welfare during the economic development of the Basque Country: Biscay, 1850-2000’, </w:t>
      </w:r>
      <w:r w:rsidRPr="009A6F08">
        <w:rPr>
          <w:rFonts w:cs="Arial"/>
          <w:i/>
          <w:lang w:val="en-US"/>
        </w:rPr>
        <w:t>Revista de Historia Industrial</w:t>
      </w:r>
      <w:r w:rsidRPr="009A6F08">
        <w:rPr>
          <w:rFonts w:cs="Arial"/>
          <w:lang w:val="en-US"/>
        </w:rPr>
        <w:t>, 64 (2016), pp. 183-212.</w:t>
      </w:r>
    </w:p>
    <w:p w14:paraId="58E344C3" w14:textId="77777777" w:rsidR="00C60CA9" w:rsidRPr="009A6F08" w:rsidRDefault="00C60CA9" w:rsidP="00C60CA9">
      <w:pPr>
        <w:spacing w:line="480" w:lineRule="auto"/>
        <w:ind w:left="709" w:hanging="709"/>
        <w:rPr>
          <w:rFonts w:cs="Arial"/>
          <w:lang w:val="en-US"/>
        </w:rPr>
      </w:pPr>
      <w:r w:rsidRPr="009A6F08">
        <w:rPr>
          <w:rFonts w:cs="Arial"/>
          <w:lang w:val="en-US"/>
        </w:rPr>
        <w:t xml:space="preserve">Petrick, G. M., ‘Industrial food’, in J. M. Pilcher, ed., </w:t>
      </w:r>
      <w:r w:rsidRPr="009A6F08">
        <w:rPr>
          <w:rFonts w:cs="Arial"/>
          <w:i/>
          <w:lang w:val="en-US"/>
        </w:rPr>
        <w:t>The Oxford handbook of food history</w:t>
      </w:r>
      <w:r w:rsidRPr="009A6F08">
        <w:rPr>
          <w:rFonts w:cs="Arial"/>
          <w:lang w:val="en-US"/>
        </w:rPr>
        <w:t xml:space="preserve"> (New York, 2012), pp. 258-278.</w:t>
      </w:r>
    </w:p>
    <w:p w14:paraId="21D1D72A" w14:textId="77777777" w:rsidR="00C60CA9" w:rsidRPr="009A6F08" w:rsidRDefault="00C60CA9" w:rsidP="00C60CA9">
      <w:pPr>
        <w:spacing w:line="480" w:lineRule="auto"/>
        <w:ind w:left="709" w:hanging="709"/>
        <w:rPr>
          <w:rFonts w:cs="Arial"/>
          <w:lang w:val="en-US"/>
        </w:rPr>
      </w:pPr>
      <w:r w:rsidRPr="009A6F08">
        <w:rPr>
          <w:rFonts w:cs="Arial"/>
          <w:lang w:val="en-US"/>
        </w:rPr>
        <w:t xml:space="preserve">Pilcher, J. M., ‘Introduction’, in J. M. Pilcher, ed., </w:t>
      </w:r>
      <w:r w:rsidRPr="009A6F08">
        <w:rPr>
          <w:rFonts w:cs="Arial"/>
          <w:i/>
          <w:lang w:val="en-US"/>
        </w:rPr>
        <w:t>The Oxford handbook of food history</w:t>
      </w:r>
      <w:r w:rsidRPr="009A6F08">
        <w:rPr>
          <w:rFonts w:cs="Arial"/>
          <w:lang w:val="en-US"/>
        </w:rPr>
        <w:t xml:space="preserve"> (New York, 2012), pp. xvii-xxviii.</w:t>
      </w:r>
    </w:p>
    <w:p w14:paraId="0A38366F" w14:textId="77777777" w:rsidR="00C60CA9" w:rsidRPr="009A6F08" w:rsidRDefault="00C60CA9" w:rsidP="00C60CA9">
      <w:pPr>
        <w:spacing w:line="480" w:lineRule="auto"/>
        <w:ind w:left="709" w:hanging="709"/>
        <w:rPr>
          <w:rFonts w:cs="Arial"/>
          <w:lang w:val="en-US"/>
        </w:rPr>
      </w:pPr>
      <w:r w:rsidRPr="009A6F08">
        <w:rPr>
          <w:rFonts w:cs="Arial"/>
          <w:lang w:val="en-US"/>
        </w:rPr>
        <w:t xml:space="preserve">Popkin, B. M., ‘Nutritional patterns and transitions’, </w:t>
      </w:r>
      <w:r w:rsidRPr="009A6F08">
        <w:rPr>
          <w:rFonts w:cs="Arial"/>
          <w:i/>
          <w:lang w:val="en-US"/>
        </w:rPr>
        <w:t>Population and Development Review</w:t>
      </w:r>
      <w:r w:rsidRPr="009A6F08">
        <w:rPr>
          <w:rFonts w:cs="Arial"/>
          <w:lang w:val="en-US"/>
        </w:rPr>
        <w:t>, 19, 1 (1993), pp. 138-157.</w:t>
      </w:r>
    </w:p>
    <w:p w14:paraId="298D0170" w14:textId="77777777" w:rsidR="00C60CA9" w:rsidRPr="009A6F08" w:rsidRDefault="00C60CA9" w:rsidP="00C60CA9">
      <w:pPr>
        <w:spacing w:line="480" w:lineRule="auto"/>
        <w:ind w:left="709" w:hanging="709"/>
        <w:rPr>
          <w:rFonts w:cs="Arial"/>
        </w:rPr>
      </w:pPr>
      <w:r w:rsidRPr="009A6F08">
        <w:rPr>
          <w:rFonts w:cs="Arial"/>
        </w:rPr>
        <w:t xml:space="preserve">Prados de la Escosura, L., </w:t>
      </w:r>
      <w:r w:rsidRPr="009A6F08">
        <w:rPr>
          <w:rFonts w:cs="Arial"/>
          <w:i/>
        </w:rPr>
        <w:t>El progreso económico de España (1850-2000)</w:t>
      </w:r>
      <w:r w:rsidRPr="009A6F08">
        <w:rPr>
          <w:rFonts w:cs="Arial"/>
        </w:rPr>
        <w:t xml:space="preserve"> (Bilbao, 2003).</w:t>
      </w:r>
    </w:p>
    <w:p w14:paraId="217CF99C" w14:textId="77777777" w:rsidR="00C60CA9" w:rsidRPr="009A6F08" w:rsidRDefault="00C60CA9" w:rsidP="00C60CA9">
      <w:pPr>
        <w:spacing w:line="480" w:lineRule="auto"/>
        <w:ind w:left="709" w:hanging="709"/>
        <w:rPr>
          <w:rFonts w:cs="Arial"/>
          <w:lang w:val="en-US"/>
        </w:rPr>
      </w:pPr>
      <w:r w:rsidRPr="009A6F08">
        <w:rPr>
          <w:rFonts w:cs="Arial"/>
          <w:lang w:val="en-US"/>
        </w:rPr>
        <w:t xml:space="preserve">Prados de la Escosura, L., ‘Inequality, poverty and the Kuznets curve in Spain (1850-2000)’, </w:t>
      </w:r>
      <w:r w:rsidRPr="009A6F08">
        <w:rPr>
          <w:rFonts w:cs="Arial"/>
          <w:i/>
          <w:lang w:val="en-US"/>
        </w:rPr>
        <w:t>European Review of Economic History</w:t>
      </w:r>
      <w:r w:rsidRPr="009A6F08">
        <w:rPr>
          <w:rFonts w:cs="Arial"/>
          <w:lang w:val="en-US"/>
        </w:rPr>
        <w:t>, 12, 3 (2008), pp. 287-324.</w:t>
      </w:r>
    </w:p>
    <w:p w14:paraId="528099EE" w14:textId="77777777" w:rsidR="00C60CA9" w:rsidRPr="009A6F08" w:rsidRDefault="00C60CA9" w:rsidP="00C60CA9">
      <w:pPr>
        <w:spacing w:line="480" w:lineRule="auto"/>
        <w:ind w:left="709" w:hanging="709"/>
        <w:rPr>
          <w:rFonts w:cs="Arial"/>
        </w:rPr>
      </w:pPr>
      <w:r w:rsidRPr="009A6F08">
        <w:rPr>
          <w:rFonts w:cs="Arial"/>
        </w:rPr>
        <w:t xml:space="preserve">Pujol, J. and Cussó, X., ‘La transición nutricional en Europa occidental, 1865-2000: una nueva aproximación’, </w:t>
      </w:r>
      <w:r w:rsidRPr="009A6F08">
        <w:rPr>
          <w:rFonts w:cs="Arial"/>
          <w:i/>
        </w:rPr>
        <w:t>Historia Social</w:t>
      </w:r>
      <w:r w:rsidRPr="009A6F08">
        <w:rPr>
          <w:rFonts w:cs="Arial"/>
        </w:rPr>
        <w:t>, 80 (2014), pp. 133-155.</w:t>
      </w:r>
    </w:p>
    <w:p w14:paraId="2A9E2B82" w14:textId="77777777" w:rsidR="00C60CA9" w:rsidRPr="009A6F08" w:rsidRDefault="00C60CA9" w:rsidP="00C60CA9">
      <w:pPr>
        <w:spacing w:line="480" w:lineRule="auto"/>
        <w:ind w:left="709" w:hanging="709"/>
        <w:rPr>
          <w:rFonts w:cs="Arial"/>
        </w:rPr>
      </w:pPr>
      <w:r w:rsidRPr="009A6F08">
        <w:rPr>
          <w:rFonts w:cs="Arial"/>
        </w:rPr>
        <w:t xml:space="preserve">Ramos, M., ‘La industria láctea catalana’, </w:t>
      </w:r>
      <w:r w:rsidRPr="009A6F08">
        <w:rPr>
          <w:rFonts w:cs="Arial"/>
          <w:i/>
        </w:rPr>
        <w:t>Revista Española de Lechería</w:t>
      </w:r>
      <w:r w:rsidRPr="009A6F08">
        <w:rPr>
          <w:rFonts w:cs="Arial"/>
        </w:rPr>
        <w:t>, 87 (1973), pp. 25-28.</w:t>
      </w:r>
    </w:p>
    <w:p w14:paraId="10F7F139" w14:textId="77777777" w:rsidR="00C60CA9" w:rsidRPr="009A6F08" w:rsidRDefault="00C60CA9" w:rsidP="00C60CA9">
      <w:pPr>
        <w:spacing w:line="480" w:lineRule="auto"/>
        <w:ind w:left="709" w:hanging="709"/>
        <w:rPr>
          <w:rFonts w:cs="Arial"/>
        </w:rPr>
      </w:pPr>
      <w:r w:rsidRPr="009A6F08">
        <w:rPr>
          <w:rFonts w:cs="Arial"/>
          <w:i/>
        </w:rPr>
        <w:lastRenderedPageBreak/>
        <w:t xml:space="preserve">REL </w:t>
      </w:r>
      <w:r w:rsidRPr="009A6F08">
        <w:rPr>
          <w:rFonts w:cs="Arial"/>
        </w:rPr>
        <w:t>[</w:t>
      </w:r>
      <w:r w:rsidRPr="009A6F08">
        <w:rPr>
          <w:rFonts w:cs="Arial"/>
          <w:i/>
        </w:rPr>
        <w:t>Revista Española de Lechería</w:t>
      </w:r>
      <w:r w:rsidRPr="009A6F08">
        <w:rPr>
          <w:rFonts w:cs="Arial"/>
        </w:rPr>
        <w:t xml:space="preserve">], ‘Información’, </w:t>
      </w:r>
      <w:r w:rsidRPr="009A6F08">
        <w:rPr>
          <w:rFonts w:cs="Arial"/>
          <w:i/>
        </w:rPr>
        <w:t>Revista Española de Lechería</w:t>
      </w:r>
      <w:r w:rsidRPr="009A6F08">
        <w:rPr>
          <w:rFonts w:cs="Arial"/>
        </w:rPr>
        <w:t>, 23 (1957), pp. 53-56.</w:t>
      </w:r>
    </w:p>
    <w:p w14:paraId="12EDC6C4" w14:textId="77777777" w:rsidR="00C60CA9" w:rsidRPr="009A6F08" w:rsidRDefault="00C60CA9" w:rsidP="00C60CA9">
      <w:pPr>
        <w:spacing w:line="480" w:lineRule="auto"/>
        <w:ind w:left="709" w:hanging="709"/>
        <w:rPr>
          <w:rFonts w:cs="Arial"/>
        </w:rPr>
      </w:pPr>
      <w:r w:rsidRPr="009A6F08">
        <w:rPr>
          <w:rFonts w:cs="Arial"/>
          <w:i/>
        </w:rPr>
        <w:t>REL</w:t>
      </w:r>
      <w:r w:rsidRPr="009A6F08">
        <w:rPr>
          <w:rFonts w:cs="Arial"/>
        </w:rPr>
        <w:t xml:space="preserve">, ‘Bibliografía’, </w:t>
      </w:r>
      <w:r w:rsidRPr="009A6F08">
        <w:rPr>
          <w:rFonts w:cs="Arial"/>
          <w:i/>
        </w:rPr>
        <w:t>Revista Española de Lechería</w:t>
      </w:r>
      <w:r w:rsidRPr="009A6F08">
        <w:rPr>
          <w:rFonts w:cs="Arial"/>
        </w:rPr>
        <w:t>, 111 (1979), pp. 31-43.</w:t>
      </w:r>
    </w:p>
    <w:p w14:paraId="46EF0360" w14:textId="77777777" w:rsidR="00C60CA9" w:rsidRPr="009A6F08" w:rsidRDefault="00C60CA9" w:rsidP="00C60CA9">
      <w:pPr>
        <w:spacing w:line="480" w:lineRule="auto"/>
        <w:ind w:left="709" w:hanging="709"/>
        <w:rPr>
          <w:rFonts w:cs="Arial"/>
        </w:rPr>
      </w:pPr>
      <w:r w:rsidRPr="009A6F08">
        <w:rPr>
          <w:rFonts w:cs="Arial"/>
          <w:i/>
        </w:rPr>
        <w:t>REL</w:t>
      </w:r>
      <w:r w:rsidRPr="009A6F08">
        <w:rPr>
          <w:rFonts w:cs="Arial"/>
        </w:rPr>
        <w:t xml:space="preserve">, ‘Informe’, </w:t>
      </w:r>
      <w:r w:rsidRPr="009A6F08">
        <w:rPr>
          <w:rFonts w:cs="Arial"/>
          <w:i/>
        </w:rPr>
        <w:t>Revista Española de Lechería</w:t>
      </w:r>
      <w:r w:rsidRPr="009A6F08">
        <w:rPr>
          <w:rFonts w:cs="Arial"/>
        </w:rPr>
        <w:t>, 19 (1990), pp. 12-15.</w:t>
      </w:r>
    </w:p>
    <w:p w14:paraId="5A61603A" w14:textId="77777777" w:rsidR="00C60CA9" w:rsidRPr="009A6F08" w:rsidRDefault="00C60CA9" w:rsidP="00C60CA9">
      <w:pPr>
        <w:spacing w:line="480" w:lineRule="auto"/>
        <w:ind w:left="709" w:hanging="709"/>
        <w:rPr>
          <w:rFonts w:cs="Arial"/>
          <w:lang w:val="en-US"/>
        </w:rPr>
      </w:pPr>
      <w:r w:rsidRPr="009A6F08">
        <w:rPr>
          <w:rFonts w:cs="Arial"/>
          <w:lang w:val="en-US"/>
        </w:rPr>
        <w:t xml:space="preserve">Scholliers, P., ‘Post-1945 global food developments’, in P. Freedman, J. Chaplin and K. Albala, eds., </w:t>
      </w:r>
      <w:r w:rsidRPr="009A6F08">
        <w:rPr>
          <w:rFonts w:cs="Arial"/>
          <w:i/>
          <w:lang w:val="en-US"/>
        </w:rPr>
        <w:t>Food in time and place: the American Historical Association companion to food history</w:t>
      </w:r>
      <w:r w:rsidRPr="009A6F08">
        <w:rPr>
          <w:rFonts w:cs="Arial"/>
          <w:lang w:val="en-US"/>
        </w:rPr>
        <w:t xml:space="preserve"> (Oakland, 2014), pp. 340-363.</w:t>
      </w:r>
    </w:p>
    <w:p w14:paraId="64B56F8E" w14:textId="77777777" w:rsidR="00C60CA9" w:rsidRPr="009A6F08" w:rsidRDefault="00C60CA9" w:rsidP="00C60CA9">
      <w:pPr>
        <w:spacing w:line="480" w:lineRule="auto"/>
        <w:ind w:left="709" w:hanging="709"/>
        <w:rPr>
          <w:rFonts w:cs="Arial"/>
          <w:lang w:val="en-US"/>
        </w:rPr>
      </w:pPr>
      <w:r w:rsidRPr="009A6F08">
        <w:rPr>
          <w:rFonts w:cs="Arial"/>
          <w:lang w:val="en-US"/>
        </w:rPr>
        <w:t xml:space="preserve">Smith-Howard, K., </w:t>
      </w:r>
      <w:r w:rsidRPr="009A6F08">
        <w:rPr>
          <w:rFonts w:cs="Arial"/>
          <w:i/>
          <w:lang w:val="en-US"/>
        </w:rPr>
        <w:t>Pure and modern milk: an environmental history since 1900</w:t>
      </w:r>
      <w:r w:rsidRPr="009A6F08">
        <w:rPr>
          <w:rFonts w:cs="Arial"/>
          <w:lang w:val="en-US"/>
        </w:rPr>
        <w:t xml:space="preserve"> (New York, 2014).</w:t>
      </w:r>
    </w:p>
    <w:p w14:paraId="1F85764D" w14:textId="77777777" w:rsidR="00C60CA9" w:rsidRPr="009A6F08" w:rsidRDefault="00C60CA9" w:rsidP="00C60CA9">
      <w:pPr>
        <w:spacing w:line="480" w:lineRule="auto"/>
        <w:ind w:left="709" w:hanging="709"/>
        <w:rPr>
          <w:rFonts w:cs="Arial"/>
          <w:lang w:val="fr-FR"/>
        </w:rPr>
      </w:pPr>
      <w:r w:rsidRPr="009A6F08">
        <w:rPr>
          <w:rFonts w:cs="Arial"/>
          <w:lang w:val="fr-FR"/>
        </w:rPr>
        <w:t xml:space="preserve">Stanziani, A., </w:t>
      </w:r>
      <w:r w:rsidRPr="009A6F08">
        <w:rPr>
          <w:rFonts w:cs="Arial"/>
          <w:i/>
          <w:lang w:val="fr-FR"/>
        </w:rPr>
        <w:t xml:space="preserve">Histoire de la qualité </w:t>
      </w:r>
      <w:proofErr w:type="gramStart"/>
      <w:r w:rsidRPr="009A6F08">
        <w:rPr>
          <w:rFonts w:cs="Arial"/>
          <w:i/>
          <w:lang w:val="fr-FR"/>
        </w:rPr>
        <w:t>alimentaire:</w:t>
      </w:r>
      <w:proofErr w:type="gramEnd"/>
      <w:r w:rsidRPr="009A6F08">
        <w:rPr>
          <w:rFonts w:cs="Arial"/>
          <w:i/>
          <w:lang w:val="fr-FR"/>
        </w:rPr>
        <w:t xml:space="preserve"> France XIX</w:t>
      </w:r>
      <w:r w:rsidRPr="009A6F08">
        <w:rPr>
          <w:rFonts w:cs="Arial"/>
          <w:i/>
          <w:vertAlign w:val="superscript"/>
          <w:lang w:val="fr-FR"/>
        </w:rPr>
        <w:t>e</w:t>
      </w:r>
      <w:r w:rsidRPr="009A6F08">
        <w:rPr>
          <w:rFonts w:cs="Arial"/>
          <w:i/>
          <w:lang w:val="fr-FR"/>
        </w:rPr>
        <w:t>-XX</w:t>
      </w:r>
      <w:r w:rsidRPr="009A6F08">
        <w:rPr>
          <w:rFonts w:cs="Arial"/>
          <w:i/>
          <w:vertAlign w:val="superscript"/>
          <w:lang w:val="fr-FR"/>
        </w:rPr>
        <w:t>e</w:t>
      </w:r>
      <w:r w:rsidRPr="009A6F08">
        <w:rPr>
          <w:rFonts w:cs="Arial"/>
          <w:i/>
          <w:lang w:val="fr-FR"/>
        </w:rPr>
        <w:t xml:space="preserve"> siècles</w:t>
      </w:r>
      <w:r w:rsidRPr="009A6F08">
        <w:rPr>
          <w:rFonts w:cs="Arial"/>
          <w:lang w:val="fr-FR"/>
        </w:rPr>
        <w:t xml:space="preserve"> (Paris, 2005).</w:t>
      </w:r>
    </w:p>
    <w:p w14:paraId="5E182809" w14:textId="77777777" w:rsidR="00C60CA9" w:rsidRPr="009A6F08" w:rsidRDefault="00C60CA9" w:rsidP="00C60CA9">
      <w:pPr>
        <w:spacing w:line="480" w:lineRule="auto"/>
        <w:ind w:left="709" w:hanging="709"/>
        <w:rPr>
          <w:rFonts w:cs="Arial"/>
          <w:lang w:val="fr-FR"/>
        </w:rPr>
      </w:pPr>
      <w:r w:rsidRPr="009A6F08">
        <w:rPr>
          <w:rFonts w:cs="Arial"/>
          <w:lang w:val="fr-FR"/>
        </w:rPr>
        <w:t xml:space="preserve">Torregrosa, S., ‘Sticky income inequality in the Spanish transition, 1973-1990’, </w:t>
      </w:r>
      <w:r w:rsidRPr="009A6F08">
        <w:rPr>
          <w:rFonts w:cs="Arial"/>
          <w:i/>
          <w:lang w:val="fr-FR"/>
        </w:rPr>
        <w:t>Revista de Historia Económica</w:t>
      </w:r>
      <w:r w:rsidRPr="009A6F08">
        <w:rPr>
          <w:rFonts w:cs="Arial"/>
          <w:lang w:val="fr-FR"/>
        </w:rPr>
        <w:t>, 34, 1 (2016), pp. 39-80.</w:t>
      </w:r>
    </w:p>
    <w:p w14:paraId="5FC4C6B9" w14:textId="77777777" w:rsidR="00C60CA9" w:rsidRPr="009A6F08" w:rsidRDefault="00C60CA9" w:rsidP="00C60CA9">
      <w:pPr>
        <w:spacing w:line="480" w:lineRule="auto"/>
        <w:ind w:left="709" w:hanging="709"/>
        <w:rPr>
          <w:rFonts w:cs="Arial"/>
          <w:lang w:val="fr-FR"/>
        </w:rPr>
      </w:pPr>
      <w:r w:rsidRPr="009A6F08">
        <w:rPr>
          <w:rFonts w:cs="Arial"/>
          <w:lang w:val="fr-FR"/>
        </w:rPr>
        <w:t xml:space="preserve">Toutain, J.-C., ‘La consommation alimentaire en France de 1789 à 1964’, </w:t>
      </w:r>
      <w:r w:rsidRPr="009A6F08">
        <w:rPr>
          <w:rFonts w:cs="Arial"/>
          <w:i/>
          <w:lang w:val="fr-FR"/>
        </w:rPr>
        <w:t>Économies et Sociétés</w:t>
      </w:r>
      <w:r w:rsidRPr="009A6F08">
        <w:rPr>
          <w:rFonts w:cs="Arial"/>
          <w:lang w:val="fr-FR"/>
        </w:rPr>
        <w:t>, 5, 11 (1971), pp. 1909-2049.</w:t>
      </w:r>
    </w:p>
    <w:p w14:paraId="1B087ECD" w14:textId="77777777" w:rsidR="00C60CA9" w:rsidRPr="009A6F08" w:rsidRDefault="00C60CA9" w:rsidP="00C60CA9">
      <w:pPr>
        <w:spacing w:line="480" w:lineRule="auto"/>
        <w:ind w:left="709" w:hanging="709"/>
        <w:rPr>
          <w:rFonts w:cs="Arial"/>
        </w:rPr>
      </w:pPr>
      <w:r w:rsidRPr="009A6F08">
        <w:rPr>
          <w:rFonts w:cs="Arial"/>
        </w:rPr>
        <w:t xml:space="preserve">Trescastro-López, E. M., Galiana-Sánchez, M. E., Pereyra-Zamora, P., Moncho, J., Nolasco, A. and Bernabeu-Mestre, J., ‘Malnutrición y desigualdades en la España del franquismo; el impacto del complemento alimenticio lácteo en el crecimiento de los escolares españoles (1954-1978)’, </w:t>
      </w:r>
      <w:r w:rsidRPr="009A6F08">
        <w:rPr>
          <w:rFonts w:cs="Arial"/>
          <w:i/>
        </w:rPr>
        <w:t>Nutrición Hospitalaria</w:t>
      </w:r>
      <w:r w:rsidRPr="009A6F08">
        <w:rPr>
          <w:rFonts w:cs="Arial"/>
        </w:rPr>
        <w:t>, 29, 2 (2014), pp. 227-236.</w:t>
      </w:r>
    </w:p>
    <w:p w14:paraId="2FF53EEA" w14:textId="77777777" w:rsidR="00C60CA9" w:rsidRPr="009A6F08" w:rsidRDefault="00C60CA9" w:rsidP="00C60CA9">
      <w:pPr>
        <w:spacing w:line="480" w:lineRule="auto"/>
        <w:ind w:left="709" w:hanging="709"/>
        <w:rPr>
          <w:rFonts w:cs="Arial"/>
          <w:lang w:val="en-US"/>
        </w:rPr>
      </w:pPr>
      <w:r w:rsidRPr="009A6F08">
        <w:rPr>
          <w:rFonts w:cs="Arial"/>
          <w:lang w:val="en-US"/>
        </w:rPr>
        <w:t xml:space="preserve">Valenze, D., </w:t>
      </w:r>
      <w:r w:rsidRPr="009A6F08">
        <w:rPr>
          <w:rFonts w:cs="Arial"/>
          <w:i/>
          <w:lang w:val="en-US"/>
        </w:rPr>
        <w:t>Milk: a local and global history</w:t>
      </w:r>
      <w:r w:rsidRPr="009A6F08">
        <w:rPr>
          <w:rFonts w:cs="Arial"/>
          <w:lang w:val="en-US"/>
        </w:rPr>
        <w:t xml:space="preserve"> (New Haven, 2011).</w:t>
      </w:r>
    </w:p>
    <w:p w14:paraId="6E7B5293" w14:textId="77777777" w:rsidR="00C60CA9" w:rsidRPr="009A6F08" w:rsidRDefault="00C60CA9" w:rsidP="00C60CA9">
      <w:pPr>
        <w:spacing w:line="480" w:lineRule="auto"/>
        <w:ind w:left="709" w:hanging="709"/>
        <w:rPr>
          <w:rFonts w:cs="Arial"/>
          <w:lang w:val="en-US"/>
        </w:rPr>
      </w:pPr>
      <w:r w:rsidRPr="009A6F08">
        <w:rPr>
          <w:rFonts w:cs="Arial"/>
          <w:lang w:val="en-US"/>
        </w:rPr>
        <w:t xml:space="preserve">van Otterloo, A. H., ‘Fast food and slow food. The fastening food chain and recurrent countertrends in Europe and the Netherlands (1890-1990)’, in C. Sarasúa, P. Scholliers and L. van Molle, eds., </w:t>
      </w:r>
      <w:r w:rsidRPr="009A6F08">
        <w:rPr>
          <w:rFonts w:cs="Arial"/>
          <w:i/>
          <w:lang w:val="en-US"/>
        </w:rPr>
        <w:t xml:space="preserve">Land, shops and kitchens: </w:t>
      </w:r>
      <w:r w:rsidRPr="009A6F08">
        <w:rPr>
          <w:rFonts w:cs="Arial"/>
          <w:i/>
          <w:lang w:val="en-US"/>
        </w:rPr>
        <w:lastRenderedPageBreak/>
        <w:t>technology and the food chain in twentieth-century Europe</w:t>
      </w:r>
      <w:r w:rsidRPr="009A6F08">
        <w:rPr>
          <w:rFonts w:cs="Arial"/>
          <w:lang w:val="en-US"/>
        </w:rPr>
        <w:t xml:space="preserve"> (Turnhout, 2005), pp. 255-277.</w:t>
      </w:r>
    </w:p>
    <w:p w14:paraId="0C1BBAC1" w14:textId="77777777" w:rsidR="00C60CA9" w:rsidRPr="009A6F08" w:rsidRDefault="00C60CA9" w:rsidP="00C60CA9">
      <w:pPr>
        <w:spacing w:line="480" w:lineRule="auto"/>
        <w:ind w:left="709" w:hanging="709"/>
        <w:rPr>
          <w:rFonts w:cs="Arial"/>
          <w:lang w:val="en-US"/>
        </w:rPr>
      </w:pPr>
      <w:r w:rsidRPr="009A6F08">
        <w:rPr>
          <w:rFonts w:cs="Arial"/>
          <w:lang w:val="en-US"/>
        </w:rPr>
        <w:t xml:space="preserve">Velten, H., </w:t>
      </w:r>
      <w:r w:rsidRPr="009A6F08">
        <w:rPr>
          <w:rFonts w:cs="Arial"/>
          <w:i/>
          <w:lang w:val="en-US"/>
        </w:rPr>
        <w:t>Milk: a global history</w:t>
      </w:r>
      <w:r w:rsidRPr="009A6F08">
        <w:rPr>
          <w:rFonts w:cs="Arial"/>
          <w:lang w:val="en-US"/>
        </w:rPr>
        <w:t xml:space="preserve"> (2010).</w:t>
      </w:r>
    </w:p>
    <w:p w14:paraId="1ED84094" w14:textId="77777777" w:rsidR="00C60CA9" w:rsidRPr="009A6F08" w:rsidRDefault="00C60CA9" w:rsidP="00C60CA9">
      <w:pPr>
        <w:spacing w:line="480" w:lineRule="auto"/>
        <w:ind w:left="709" w:hanging="709"/>
        <w:rPr>
          <w:rFonts w:cs="Arial"/>
          <w:lang w:val="en-US"/>
        </w:rPr>
      </w:pPr>
      <w:r w:rsidRPr="009A6F08">
        <w:rPr>
          <w:rFonts w:cs="Arial"/>
          <w:lang w:val="en-US"/>
        </w:rPr>
        <w:t xml:space="preserve">Wiley, A. S., </w:t>
      </w:r>
      <w:r w:rsidRPr="009A6F08">
        <w:rPr>
          <w:rFonts w:cs="Arial"/>
          <w:i/>
          <w:lang w:val="en-US"/>
        </w:rPr>
        <w:t>Re-imagining milk: cultural and biological perspectives</w:t>
      </w:r>
      <w:r w:rsidRPr="009A6F08">
        <w:rPr>
          <w:rFonts w:cs="Arial"/>
          <w:lang w:val="en-US"/>
        </w:rPr>
        <w:t xml:space="preserve"> (New York, 2011).</w:t>
      </w:r>
    </w:p>
    <w:p w14:paraId="693225A9" w14:textId="77777777" w:rsidR="00C60CA9" w:rsidRPr="009A6F08" w:rsidRDefault="00C60CA9" w:rsidP="00C60CA9">
      <w:pPr>
        <w:spacing w:line="480" w:lineRule="auto"/>
        <w:rPr>
          <w:rFonts w:cs="Arial"/>
          <w:lang w:val="en-US"/>
        </w:rPr>
      </w:pPr>
    </w:p>
    <w:p w14:paraId="43DBB191" w14:textId="77777777" w:rsidR="00C60CA9" w:rsidRPr="009A6F08" w:rsidRDefault="00C60CA9" w:rsidP="00C60CA9">
      <w:pPr>
        <w:spacing w:line="480" w:lineRule="auto"/>
        <w:rPr>
          <w:rFonts w:cs="Arial"/>
          <w:b/>
          <w:i/>
        </w:rPr>
      </w:pPr>
      <w:r w:rsidRPr="009A6F08">
        <w:rPr>
          <w:rFonts w:cs="Arial"/>
          <w:b/>
          <w:i/>
        </w:rPr>
        <w:t>Official publications</w:t>
      </w:r>
    </w:p>
    <w:p w14:paraId="5E37D41A" w14:textId="77777777" w:rsidR="00C60CA9" w:rsidRPr="009A6F08" w:rsidRDefault="00C60CA9" w:rsidP="00C60CA9">
      <w:pPr>
        <w:spacing w:line="480" w:lineRule="auto"/>
        <w:rPr>
          <w:rFonts w:cs="Arial"/>
        </w:rPr>
      </w:pPr>
    </w:p>
    <w:p w14:paraId="1ED0CDC7" w14:textId="77777777" w:rsidR="00C60CA9" w:rsidRPr="009A6F08" w:rsidRDefault="00C60CA9" w:rsidP="00C60CA9">
      <w:pPr>
        <w:spacing w:line="480" w:lineRule="auto"/>
        <w:ind w:left="709" w:hanging="709"/>
        <w:rPr>
          <w:rFonts w:cs="Arial"/>
        </w:rPr>
      </w:pPr>
      <w:r w:rsidRPr="009A6F08">
        <w:rPr>
          <w:rFonts w:cs="Arial"/>
        </w:rPr>
        <w:t xml:space="preserve">INE [Instituto Nacional de Estadística], </w:t>
      </w:r>
      <w:r w:rsidRPr="009A6F08">
        <w:rPr>
          <w:rFonts w:cs="Arial"/>
          <w:i/>
        </w:rPr>
        <w:t>Anuario estadístico de España</w:t>
      </w:r>
      <w:r w:rsidRPr="009A6F08">
        <w:rPr>
          <w:rFonts w:cs="Arial"/>
        </w:rPr>
        <w:t xml:space="preserve"> (Madrid, 1858-2016).</w:t>
      </w:r>
    </w:p>
    <w:p w14:paraId="4B730716" w14:textId="77777777" w:rsidR="00C60CA9" w:rsidRPr="009A6F08" w:rsidRDefault="00C60CA9" w:rsidP="00C60CA9">
      <w:pPr>
        <w:spacing w:line="480" w:lineRule="auto"/>
        <w:ind w:left="709" w:hanging="709"/>
        <w:rPr>
          <w:rFonts w:cs="Arial"/>
        </w:rPr>
      </w:pPr>
      <w:r w:rsidRPr="009A6F08">
        <w:rPr>
          <w:rFonts w:cs="Arial"/>
        </w:rPr>
        <w:t xml:space="preserve">INE, </w:t>
      </w:r>
      <w:r w:rsidRPr="009A6F08">
        <w:rPr>
          <w:rFonts w:cs="Arial"/>
          <w:i/>
        </w:rPr>
        <w:t xml:space="preserve">Encuesta de presupuestos familiares </w:t>
      </w:r>
      <w:r w:rsidRPr="009A6F08">
        <w:rPr>
          <w:rFonts w:cs="Arial"/>
        </w:rPr>
        <w:t>(Madrid, 1965-95).</w:t>
      </w:r>
    </w:p>
    <w:p w14:paraId="16E3AEE3" w14:textId="77777777" w:rsidR="00C60CA9" w:rsidRPr="009A6F08" w:rsidRDefault="00C60CA9" w:rsidP="00C60CA9">
      <w:pPr>
        <w:spacing w:line="480" w:lineRule="auto"/>
        <w:ind w:left="709" w:hanging="709"/>
        <w:rPr>
          <w:rFonts w:cs="Arial"/>
        </w:rPr>
      </w:pPr>
      <w:r w:rsidRPr="009A6F08">
        <w:rPr>
          <w:rFonts w:cs="Arial"/>
        </w:rPr>
        <w:t xml:space="preserve">INE, </w:t>
      </w:r>
      <w:r w:rsidRPr="009A6F08">
        <w:rPr>
          <w:rFonts w:cs="Arial"/>
          <w:i/>
        </w:rPr>
        <w:t>Encuesta continua de presupuestos familiares</w:t>
      </w:r>
      <w:r w:rsidRPr="009A6F08">
        <w:rPr>
          <w:rFonts w:cs="Arial"/>
        </w:rPr>
        <w:t xml:space="preserve"> (Madrid, 1988-98).</w:t>
      </w:r>
    </w:p>
    <w:p w14:paraId="37B8F06A" w14:textId="77777777" w:rsidR="00C60CA9" w:rsidRPr="009A6F08" w:rsidRDefault="00C60CA9" w:rsidP="00C60CA9">
      <w:pPr>
        <w:spacing w:line="480" w:lineRule="auto"/>
        <w:ind w:left="709" w:hanging="709"/>
        <w:rPr>
          <w:rFonts w:cs="Arial"/>
        </w:rPr>
      </w:pPr>
      <w:r w:rsidRPr="009A6F08">
        <w:rPr>
          <w:rFonts w:cs="Arial"/>
        </w:rPr>
        <w:t xml:space="preserve">Ministerio de Agricultura, </w:t>
      </w:r>
      <w:r w:rsidRPr="009A6F08">
        <w:rPr>
          <w:rFonts w:cs="Arial"/>
          <w:i/>
        </w:rPr>
        <w:t>La agricultura española en 1968</w:t>
      </w:r>
      <w:r w:rsidRPr="009A6F08">
        <w:rPr>
          <w:rFonts w:cs="Arial"/>
        </w:rPr>
        <w:t xml:space="preserve"> (Madrid, 1968).</w:t>
      </w:r>
    </w:p>
    <w:p w14:paraId="4CEBE3F4" w14:textId="77777777" w:rsidR="00C60CA9" w:rsidRPr="009A6F08" w:rsidRDefault="00C60CA9" w:rsidP="00C60CA9">
      <w:pPr>
        <w:spacing w:line="480" w:lineRule="auto"/>
        <w:ind w:left="709" w:hanging="709"/>
        <w:rPr>
          <w:rFonts w:cs="Arial"/>
        </w:rPr>
      </w:pPr>
      <w:r w:rsidRPr="009A6F08">
        <w:rPr>
          <w:rFonts w:cs="Arial"/>
        </w:rPr>
        <w:t xml:space="preserve">Ministerio de Agricultura, </w:t>
      </w:r>
      <w:r w:rsidRPr="009A6F08">
        <w:rPr>
          <w:rFonts w:cs="Arial"/>
          <w:i/>
        </w:rPr>
        <w:t>La agricultura española en 1972</w:t>
      </w:r>
      <w:r w:rsidRPr="009A6F08">
        <w:rPr>
          <w:rFonts w:cs="Arial"/>
        </w:rPr>
        <w:t xml:space="preserve"> (Madrid, 1972).</w:t>
      </w:r>
    </w:p>
    <w:p w14:paraId="1094F27E" w14:textId="77777777" w:rsidR="00C60CA9" w:rsidRPr="009A6F08" w:rsidRDefault="00C60CA9" w:rsidP="00C60CA9">
      <w:pPr>
        <w:spacing w:line="480" w:lineRule="auto"/>
        <w:ind w:left="709" w:hanging="709"/>
        <w:rPr>
          <w:rFonts w:cs="Arial"/>
        </w:rPr>
      </w:pPr>
      <w:r w:rsidRPr="009A6F08">
        <w:rPr>
          <w:rFonts w:cs="Arial"/>
        </w:rPr>
        <w:t xml:space="preserve">Ministerio de Agricultura, </w:t>
      </w:r>
      <w:r w:rsidRPr="009A6F08">
        <w:rPr>
          <w:rFonts w:cs="Arial"/>
          <w:i/>
        </w:rPr>
        <w:t>Anuario de estadística agraria, 1975</w:t>
      </w:r>
      <w:r w:rsidRPr="009A6F08">
        <w:rPr>
          <w:rFonts w:cs="Arial"/>
        </w:rPr>
        <w:t xml:space="preserve"> (Madrid, 1975).</w:t>
      </w:r>
    </w:p>
    <w:p w14:paraId="3D278000" w14:textId="77777777" w:rsidR="00C60CA9" w:rsidRPr="009A6F08" w:rsidRDefault="00C60CA9" w:rsidP="00C60CA9">
      <w:pPr>
        <w:spacing w:line="480" w:lineRule="auto"/>
        <w:ind w:left="709" w:hanging="709"/>
        <w:rPr>
          <w:rFonts w:cs="Arial"/>
        </w:rPr>
      </w:pPr>
      <w:r w:rsidRPr="009A6F08">
        <w:rPr>
          <w:rFonts w:cs="Arial"/>
        </w:rPr>
        <w:t xml:space="preserve">Ministerio de Agricultura, </w:t>
      </w:r>
      <w:r w:rsidRPr="009A6F08">
        <w:rPr>
          <w:rFonts w:cs="Arial"/>
          <w:i/>
        </w:rPr>
        <w:t>La agricultura española en 1977</w:t>
      </w:r>
      <w:r w:rsidRPr="009A6F08">
        <w:rPr>
          <w:rFonts w:cs="Arial"/>
        </w:rPr>
        <w:t xml:space="preserve"> (Madrid, 1977).</w:t>
      </w:r>
    </w:p>
    <w:p w14:paraId="2F664AA1" w14:textId="77777777" w:rsidR="00C60CA9" w:rsidRPr="009A6F08" w:rsidRDefault="00C60CA9" w:rsidP="00C60CA9">
      <w:pPr>
        <w:spacing w:line="480" w:lineRule="auto"/>
        <w:ind w:left="709" w:hanging="709"/>
        <w:rPr>
          <w:rFonts w:cs="Arial"/>
        </w:rPr>
      </w:pPr>
      <w:r w:rsidRPr="009A6F08">
        <w:rPr>
          <w:rFonts w:cs="Arial"/>
        </w:rPr>
        <w:t xml:space="preserve">MAPA [Ministerio de Agricultura, Pesca y Alimentación], </w:t>
      </w:r>
      <w:r w:rsidRPr="009A6F08">
        <w:rPr>
          <w:rFonts w:cs="Arial"/>
          <w:i/>
        </w:rPr>
        <w:t>Anuario de estadística agraria, 1983</w:t>
      </w:r>
      <w:r w:rsidRPr="009A6F08">
        <w:rPr>
          <w:rFonts w:cs="Arial"/>
        </w:rPr>
        <w:t xml:space="preserve"> (Madrid, 1983).</w:t>
      </w:r>
    </w:p>
    <w:p w14:paraId="0249D909" w14:textId="77777777" w:rsidR="00C60CA9" w:rsidRPr="009A6F08" w:rsidRDefault="00C60CA9" w:rsidP="00C60CA9">
      <w:pPr>
        <w:spacing w:line="480" w:lineRule="auto"/>
        <w:ind w:left="709" w:hanging="709"/>
        <w:rPr>
          <w:rFonts w:cs="Arial"/>
        </w:rPr>
      </w:pPr>
      <w:r w:rsidRPr="009A6F08">
        <w:rPr>
          <w:rFonts w:cs="Arial"/>
        </w:rPr>
        <w:t xml:space="preserve">MAPA, </w:t>
      </w:r>
      <w:r w:rsidRPr="009A6F08">
        <w:rPr>
          <w:rFonts w:cs="Arial"/>
          <w:i/>
        </w:rPr>
        <w:t>Consumo alimentario en España</w:t>
      </w:r>
      <w:r w:rsidRPr="009A6F08">
        <w:rPr>
          <w:rFonts w:cs="Arial"/>
        </w:rPr>
        <w:t xml:space="preserve"> (Madrid, 1989-91).</w:t>
      </w:r>
    </w:p>
    <w:p w14:paraId="6617D9E0" w14:textId="77777777" w:rsidR="00C60CA9" w:rsidRPr="009A6F08" w:rsidRDefault="00C60CA9" w:rsidP="00C60CA9">
      <w:pPr>
        <w:spacing w:line="480" w:lineRule="auto"/>
        <w:rPr>
          <w:rFonts w:cs="Arial"/>
        </w:rPr>
      </w:pPr>
    </w:p>
    <w:p w14:paraId="3C0E5BA4" w14:textId="77777777" w:rsidR="00C60CA9" w:rsidRPr="009A6F08" w:rsidRDefault="00C60CA9" w:rsidP="00C60CA9">
      <w:pPr>
        <w:spacing w:line="480" w:lineRule="auto"/>
        <w:rPr>
          <w:rFonts w:cs="Arial"/>
        </w:rPr>
      </w:pPr>
    </w:p>
    <w:p w14:paraId="7FF84811" w14:textId="69952B3F" w:rsidR="00C60CA9" w:rsidRPr="009A6F08" w:rsidRDefault="00C60CA9">
      <w:pPr>
        <w:rPr>
          <w:rFonts w:cs="Arial"/>
          <w:szCs w:val="24"/>
          <w:lang w:val="en-GB"/>
        </w:rPr>
      </w:pPr>
      <w:r w:rsidRPr="009A6F08">
        <w:rPr>
          <w:rFonts w:cs="Arial"/>
          <w:szCs w:val="24"/>
          <w:lang w:val="en-GB"/>
        </w:rPr>
        <w:br w:type="page"/>
      </w:r>
    </w:p>
    <w:p w14:paraId="2C3358B8" w14:textId="77777777" w:rsidR="00A72F79" w:rsidRPr="009A6F08" w:rsidRDefault="00A72F79" w:rsidP="00A72F79">
      <w:pPr>
        <w:spacing w:line="240" w:lineRule="auto"/>
        <w:ind w:left="907" w:hanging="907"/>
        <w:jc w:val="left"/>
        <w:rPr>
          <w:rFonts w:cs="Arial"/>
          <w:i/>
          <w:sz w:val="22"/>
          <w:szCs w:val="20"/>
          <w:lang w:val="en-GB"/>
        </w:rPr>
      </w:pPr>
      <w:r w:rsidRPr="009A6F08">
        <w:rPr>
          <w:rFonts w:cs="Arial"/>
          <w:b/>
          <w:sz w:val="22"/>
          <w:szCs w:val="20"/>
          <w:lang w:val="en-GB"/>
        </w:rPr>
        <w:lastRenderedPageBreak/>
        <w:t>Figure 1.</w:t>
      </w:r>
      <w:r w:rsidRPr="009A6F08">
        <w:rPr>
          <w:rFonts w:cs="Arial"/>
          <w:i/>
          <w:sz w:val="22"/>
          <w:szCs w:val="20"/>
          <w:lang w:val="en-GB"/>
        </w:rPr>
        <w:t xml:space="preserve"> Consumption of dairy products (primary equivalent kilograms per person and year; butter excluded)</w:t>
      </w:r>
    </w:p>
    <w:p w14:paraId="48DF5BB1" w14:textId="77777777" w:rsidR="00A72F79" w:rsidRPr="009A6F08" w:rsidRDefault="00A72F79" w:rsidP="00A72F79">
      <w:pPr>
        <w:spacing w:line="240" w:lineRule="auto"/>
        <w:jc w:val="center"/>
        <w:rPr>
          <w:rFonts w:cs="Arial"/>
          <w:i/>
          <w:sz w:val="20"/>
          <w:szCs w:val="20"/>
          <w:lang w:val="en-GB"/>
        </w:rPr>
      </w:pPr>
    </w:p>
    <w:p w14:paraId="3BCD6EC4" w14:textId="77777777" w:rsidR="00A72F79" w:rsidRPr="009A6F08" w:rsidRDefault="00A72F79" w:rsidP="00A72F79">
      <w:pPr>
        <w:spacing w:line="240" w:lineRule="auto"/>
        <w:jc w:val="center"/>
        <w:rPr>
          <w:rFonts w:cs="Arial"/>
          <w:sz w:val="20"/>
          <w:szCs w:val="20"/>
          <w:lang w:val="en-GB"/>
        </w:rPr>
      </w:pPr>
      <w:r w:rsidRPr="009A6F08">
        <w:rPr>
          <w:rFonts w:cs="Arial"/>
          <w:noProof/>
          <w:lang w:eastAsia="es-ES"/>
        </w:rPr>
        <w:drawing>
          <wp:inline distT="0" distB="0" distL="0" distR="0" wp14:anchorId="3A32F64A" wp14:editId="501F5251">
            <wp:extent cx="4143375" cy="3281362"/>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1F2A65" w14:textId="77777777" w:rsidR="00A72F79" w:rsidRPr="009A6F08" w:rsidRDefault="00A72F79" w:rsidP="00A72F79">
      <w:pPr>
        <w:spacing w:line="240" w:lineRule="auto"/>
        <w:jc w:val="center"/>
        <w:rPr>
          <w:rFonts w:cs="Arial"/>
          <w:i/>
          <w:sz w:val="20"/>
          <w:szCs w:val="20"/>
          <w:lang w:val="en-GB"/>
        </w:rPr>
      </w:pPr>
    </w:p>
    <w:p w14:paraId="6DAA52AF" w14:textId="77777777" w:rsidR="00A72F79" w:rsidRPr="009A6F08" w:rsidRDefault="00A72F79" w:rsidP="00A72F79">
      <w:pPr>
        <w:spacing w:line="240" w:lineRule="auto"/>
        <w:ind w:left="709" w:hanging="709"/>
        <w:rPr>
          <w:rFonts w:cs="Arial"/>
          <w:sz w:val="20"/>
          <w:szCs w:val="20"/>
          <w:lang w:val="en-GB"/>
        </w:rPr>
      </w:pPr>
      <w:r w:rsidRPr="009A6F08">
        <w:rPr>
          <w:rFonts w:cs="Arial"/>
          <w:i/>
          <w:sz w:val="20"/>
          <w:szCs w:val="20"/>
          <w:lang w:val="en-GB"/>
        </w:rPr>
        <w:t>Sources:</w:t>
      </w:r>
      <w:r w:rsidRPr="009A6F08">
        <w:rPr>
          <w:rFonts w:cs="Arial"/>
          <w:sz w:val="20"/>
          <w:szCs w:val="20"/>
          <w:lang w:val="en-GB"/>
        </w:rPr>
        <w:t xml:space="preserve"> Toutain, ‘</w:t>
      </w:r>
      <w:r w:rsidRPr="009A6F08">
        <w:rPr>
          <w:rFonts w:cs="Arial"/>
          <w:sz w:val="20"/>
          <w:szCs w:val="20"/>
          <w:lang w:val="en-US"/>
        </w:rPr>
        <w:t>La consommation alimentaire’</w:t>
      </w:r>
      <w:r w:rsidRPr="009A6F08">
        <w:rPr>
          <w:rFonts w:cs="Arial"/>
          <w:sz w:val="20"/>
          <w:szCs w:val="20"/>
          <w:lang w:val="en-GB"/>
        </w:rPr>
        <w:t>, p. 1955, for 1935/8; FAO (www.faostat.fao.org, ‘Food balances’) from 1961 onwards.</w:t>
      </w:r>
    </w:p>
    <w:p w14:paraId="1AA8EE73" w14:textId="77777777" w:rsidR="001B05B3" w:rsidRPr="009A6F08" w:rsidRDefault="001B05B3" w:rsidP="001B05B3">
      <w:pPr>
        <w:spacing w:line="240" w:lineRule="auto"/>
        <w:ind w:right="707"/>
        <w:rPr>
          <w:rFonts w:cs="Arial"/>
          <w:szCs w:val="24"/>
          <w:lang w:val="en-GB"/>
        </w:rPr>
      </w:pPr>
    </w:p>
    <w:p w14:paraId="69943040" w14:textId="77777777" w:rsidR="002C79D1" w:rsidRPr="009A6F08" w:rsidRDefault="002C79D1" w:rsidP="001B05B3">
      <w:pPr>
        <w:spacing w:line="240" w:lineRule="auto"/>
        <w:ind w:right="707"/>
        <w:rPr>
          <w:rFonts w:cs="Arial"/>
          <w:szCs w:val="24"/>
          <w:lang w:val="en-GB"/>
        </w:rPr>
      </w:pPr>
    </w:p>
    <w:p w14:paraId="6FF2B59D" w14:textId="77777777" w:rsidR="00512F98" w:rsidRPr="009A6F08" w:rsidRDefault="00512F98" w:rsidP="00512F98">
      <w:pPr>
        <w:spacing w:line="240" w:lineRule="auto"/>
        <w:ind w:left="993" w:hanging="993"/>
        <w:jc w:val="left"/>
        <w:rPr>
          <w:rFonts w:cs="Arial"/>
          <w:b/>
          <w:sz w:val="22"/>
          <w:szCs w:val="20"/>
          <w:lang w:val="en-US"/>
        </w:rPr>
      </w:pPr>
    </w:p>
    <w:p w14:paraId="11570658" w14:textId="4CFBB8F0" w:rsidR="00512F98" w:rsidRPr="009A6F08" w:rsidRDefault="00512F98" w:rsidP="00512F98">
      <w:pPr>
        <w:spacing w:line="240" w:lineRule="auto"/>
        <w:ind w:left="993" w:hanging="993"/>
        <w:jc w:val="left"/>
        <w:rPr>
          <w:rFonts w:cs="Arial"/>
          <w:i/>
          <w:sz w:val="22"/>
          <w:szCs w:val="20"/>
          <w:lang w:val="en-US"/>
        </w:rPr>
      </w:pPr>
      <w:r w:rsidRPr="009A6F08">
        <w:rPr>
          <w:rFonts w:cs="Arial"/>
          <w:b/>
          <w:sz w:val="22"/>
          <w:szCs w:val="20"/>
          <w:lang w:val="en-US"/>
        </w:rPr>
        <w:t xml:space="preserve">Figure 2. </w:t>
      </w:r>
      <w:r w:rsidRPr="009A6F08">
        <w:rPr>
          <w:rFonts w:cs="Arial"/>
          <w:i/>
          <w:sz w:val="22"/>
          <w:szCs w:val="20"/>
          <w:lang w:val="en-US"/>
        </w:rPr>
        <w:t>Budget constraints and milk consumption in 1964-1990: a province-level perspective</w:t>
      </w:r>
    </w:p>
    <w:p w14:paraId="529B115E" w14:textId="77777777" w:rsidR="00512F98" w:rsidRPr="009A6F08" w:rsidRDefault="00512F98" w:rsidP="00512F98">
      <w:pPr>
        <w:spacing w:line="240" w:lineRule="auto"/>
        <w:jc w:val="center"/>
        <w:rPr>
          <w:rFonts w:cs="Arial"/>
          <w:b/>
          <w:sz w:val="22"/>
          <w:szCs w:val="20"/>
          <w:lang w:val="en-US"/>
        </w:rPr>
      </w:pPr>
    </w:p>
    <w:p w14:paraId="21F63438" w14:textId="77777777" w:rsidR="00512F98" w:rsidRPr="009A6F08" w:rsidRDefault="00512F98" w:rsidP="00512F98">
      <w:pPr>
        <w:spacing w:line="240" w:lineRule="auto"/>
        <w:jc w:val="center"/>
        <w:rPr>
          <w:rFonts w:cs="Arial"/>
          <w:b/>
          <w:sz w:val="20"/>
          <w:szCs w:val="20"/>
          <w:lang w:val="en-US"/>
        </w:rPr>
      </w:pPr>
      <w:r w:rsidRPr="009A6F08">
        <w:rPr>
          <w:rFonts w:cs="Arial"/>
          <w:noProof/>
          <w:lang w:eastAsia="es-ES"/>
        </w:rPr>
        <w:drawing>
          <wp:inline distT="0" distB="0" distL="0" distR="0" wp14:anchorId="0591937A" wp14:editId="3CD37082">
            <wp:extent cx="4604544" cy="3314700"/>
            <wp:effectExtent l="0" t="0" r="5715" b="0"/>
            <wp:docPr id="358154073" name="Gráfico 35815407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3DFF7D" w14:textId="77777777" w:rsidR="00512F98" w:rsidRPr="009A6F08" w:rsidRDefault="00512F98" w:rsidP="00512F98">
      <w:pPr>
        <w:spacing w:line="240" w:lineRule="auto"/>
        <w:jc w:val="center"/>
        <w:rPr>
          <w:rFonts w:cs="Arial"/>
          <w:i/>
          <w:sz w:val="20"/>
          <w:szCs w:val="20"/>
          <w:lang w:val="en-US"/>
        </w:rPr>
      </w:pPr>
    </w:p>
    <w:p w14:paraId="4E7F52A0" w14:textId="77777777" w:rsidR="00512F98" w:rsidRPr="009A6F08" w:rsidRDefault="00512F98" w:rsidP="00512F98">
      <w:pPr>
        <w:spacing w:line="240" w:lineRule="auto"/>
        <w:rPr>
          <w:rFonts w:cs="Arial"/>
          <w:sz w:val="20"/>
          <w:szCs w:val="20"/>
          <w:lang w:val="en-US"/>
        </w:rPr>
      </w:pPr>
      <w:r w:rsidRPr="009A6F08">
        <w:rPr>
          <w:rFonts w:cs="Arial"/>
          <w:i/>
          <w:sz w:val="20"/>
          <w:szCs w:val="20"/>
        </w:rPr>
        <w:t xml:space="preserve">Source: </w:t>
      </w:r>
      <w:r w:rsidRPr="009A6F08">
        <w:rPr>
          <w:rFonts w:cs="Arial"/>
          <w:sz w:val="20"/>
          <w:szCs w:val="20"/>
        </w:rPr>
        <w:t xml:space="preserve">INE, </w:t>
      </w:r>
      <w:r w:rsidRPr="009A6F08">
        <w:rPr>
          <w:rFonts w:cs="Arial"/>
          <w:i/>
          <w:sz w:val="20"/>
          <w:szCs w:val="20"/>
        </w:rPr>
        <w:t>Encuesta de presupuestos familiares</w:t>
      </w:r>
      <w:r w:rsidRPr="009A6F08">
        <w:rPr>
          <w:rFonts w:cs="Arial"/>
          <w:sz w:val="20"/>
          <w:szCs w:val="20"/>
        </w:rPr>
        <w:t xml:space="preserve">. </w:t>
      </w:r>
      <w:r w:rsidRPr="009A6F08">
        <w:rPr>
          <w:rFonts w:cs="Arial"/>
          <w:sz w:val="20"/>
          <w:szCs w:val="20"/>
          <w:lang w:val="en-US"/>
        </w:rPr>
        <w:t>See main text for details.</w:t>
      </w:r>
    </w:p>
    <w:p w14:paraId="59A96739" w14:textId="77777777" w:rsidR="00262E88" w:rsidRPr="009A6F08" w:rsidRDefault="00262E88" w:rsidP="00262E88">
      <w:pPr>
        <w:spacing w:line="240" w:lineRule="auto"/>
        <w:ind w:left="993" w:hanging="993"/>
        <w:jc w:val="left"/>
        <w:rPr>
          <w:rFonts w:cs="Arial"/>
          <w:i/>
          <w:sz w:val="22"/>
          <w:szCs w:val="22"/>
          <w:lang w:val="en-US"/>
        </w:rPr>
      </w:pPr>
      <w:r w:rsidRPr="009A6F08">
        <w:rPr>
          <w:rFonts w:cs="Arial"/>
          <w:b/>
          <w:sz w:val="22"/>
          <w:szCs w:val="22"/>
          <w:lang w:val="en-US"/>
        </w:rPr>
        <w:lastRenderedPageBreak/>
        <w:t xml:space="preserve">Figure 3. </w:t>
      </w:r>
      <w:r w:rsidRPr="009A6F08">
        <w:rPr>
          <w:rFonts w:cs="Arial"/>
          <w:i/>
          <w:sz w:val="22"/>
          <w:szCs w:val="22"/>
          <w:lang w:val="en-US"/>
        </w:rPr>
        <w:t>Consumer responsiveness and initial consumption levels: the long-run picture</w:t>
      </w:r>
    </w:p>
    <w:p w14:paraId="52E9D3F7" w14:textId="77777777" w:rsidR="00262E88" w:rsidRPr="009A6F08" w:rsidRDefault="00262E88" w:rsidP="00262E88">
      <w:pPr>
        <w:spacing w:line="240" w:lineRule="auto"/>
        <w:jc w:val="center"/>
        <w:rPr>
          <w:rFonts w:cs="Arial"/>
          <w:b/>
          <w:sz w:val="22"/>
          <w:szCs w:val="22"/>
          <w:lang w:val="en-US"/>
        </w:rPr>
      </w:pPr>
    </w:p>
    <w:p w14:paraId="6F7597E6" w14:textId="77777777" w:rsidR="00262E88" w:rsidRPr="009A6F08" w:rsidRDefault="00262E88" w:rsidP="00262E88">
      <w:pPr>
        <w:spacing w:line="240" w:lineRule="auto"/>
        <w:jc w:val="center"/>
        <w:rPr>
          <w:rFonts w:cs="Arial"/>
          <w:i/>
          <w:sz w:val="22"/>
          <w:szCs w:val="22"/>
          <w:lang w:val="en-US"/>
        </w:rPr>
      </w:pPr>
      <w:r w:rsidRPr="009A6F08">
        <w:rPr>
          <w:rFonts w:cs="Arial"/>
          <w:noProof/>
          <w:lang w:eastAsia="es-ES"/>
        </w:rPr>
        <w:drawing>
          <wp:inline distT="0" distB="0" distL="0" distR="0" wp14:anchorId="4249B6C4" wp14:editId="20F55519">
            <wp:extent cx="4572000" cy="3136901"/>
            <wp:effectExtent l="0" t="0" r="0" b="6350"/>
            <wp:docPr id="1573334702" name="Gráfico 157333470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514559" w14:textId="77777777" w:rsidR="00262E88" w:rsidRPr="009A6F08" w:rsidRDefault="00262E88" w:rsidP="00262E88">
      <w:pPr>
        <w:spacing w:line="240" w:lineRule="auto"/>
        <w:jc w:val="center"/>
        <w:rPr>
          <w:rFonts w:cs="Arial"/>
          <w:i/>
          <w:sz w:val="20"/>
          <w:szCs w:val="20"/>
          <w:lang w:val="en-US"/>
        </w:rPr>
      </w:pPr>
    </w:p>
    <w:p w14:paraId="01DE254D" w14:textId="77777777" w:rsidR="00262E88" w:rsidRPr="009A6F08" w:rsidRDefault="00262E88" w:rsidP="00262E88">
      <w:pPr>
        <w:spacing w:line="240" w:lineRule="auto"/>
        <w:jc w:val="center"/>
        <w:rPr>
          <w:rFonts w:cs="Arial"/>
          <w:sz w:val="20"/>
          <w:szCs w:val="20"/>
          <w:lang w:val="en-US"/>
        </w:rPr>
      </w:pPr>
      <w:r w:rsidRPr="009A6F08">
        <w:rPr>
          <w:rFonts w:cs="Arial"/>
          <w:i/>
          <w:sz w:val="20"/>
          <w:szCs w:val="20"/>
          <w:lang w:val="en-US"/>
        </w:rPr>
        <w:t xml:space="preserve">Sources: </w:t>
      </w:r>
      <w:r w:rsidRPr="009A6F08">
        <w:rPr>
          <w:rFonts w:cs="Arial"/>
          <w:sz w:val="20"/>
          <w:szCs w:val="20"/>
          <w:lang w:val="en-US"/>
        </w:rPr>
        <w:t>1917-1933 and 1958-1964: Collantes, ‘Nutritional transitions’; 1964-1990: table 5; 1990-2000: INE (</w:t>
      </w:r>
      <w:r w:rsidRPr="009A6F08">
        <w:rPr>
          <w:rFonts w:cs="Arial"/>
          <w:i/>
          <w:sz w:val="20"/>
          <w:szCs w:val="20"/>
          <w:lang w:val="en-US"/>
        </w:rPr>
        <w:t>Encuesta continua de presupuestos familiares</w:t>
      </w:r>
      <w:r w:rsidRPr="009A6F08">
        <w:rPr>
          <w:rFonts w:cs="Arial"/>
          <w:sz w:val="20"/>
          <w:szCs w:val="20"/>
          <w:lang w:val="en-US"/>
        </w:rPr>
        <w:t>; www.ine.es).</w:t>
      </w:r>
    </w:p>
    <w:p w14:paraId="7F93EC26" w14:textId="77777777" w:rsidR="00512F98" w:rsidRPr="009A6F08" w:rsidRDefault="00512F98" w:rsidP="00512F98">
      <w:pPr>
        <w:spacing w:line="240" w:lineRule="auto"/>
        <w:rPr>
          <w:rFonts w:cs="Arial"/>
          <w:sz w:val="20"/>
          <w:szCs w:val="20"/>
          <w:lang w:val="en-US"/>
        </w:rPr>
      </w:pPr>
    </w:p>
    <w:p w14:paraId="4B6063EE" w14:textId="77777777" w:rsidR="00262E88" w:rsidRPr="009A6F08" w:rsidRDefault="00262E88" w:rsidP="00512F98">
      <w:pPr>
        <w:spacing w:line="240" w:lineRule="auto"/>
        <w:rPr>
          <w:rFonts w:cs="Arial"/>
          <w:sz w:val="20"/>
          <w:szCs w:val="20"/>
          <w:lang w:val="en-US"/>
        </w:rPr>
      </w:pPr>
    </w:p>
    <w:p w14:paraId="1BBD66F0" w14:textId="77777777" w:rsidR="00816EC4" w:rsidRPr="009A6F08" w:rsidRDefault="00816EC4" w:rsidP="00816EC4">
      <w:pPr>
        <w:spacing w:line="240" w:lineRule="auto"/>
        <w:ind w:left="993" w:hanging="993"/>
        <w:jc w:val="left"/>
        <w:rPr>
          <w:rFonts w:cs="Arial"/>
          <w:i/>
          <w:sz w:val="22"/>
          <w:szCs w:val="20"/>
          <w:lang w:val="en-US"/>
        </w:rPr>
      </w:pPr>
      <w:r w:rsidRPr="009A6F08">
        <w:rPr>
          <w:rFonts w:cs="Arial"/>
          <w:b/>
          <w:sz w:val="22"/>
          <w:szCs w:val="20"/>
          <w:lang w:val="en-US"/>
        </w:rPr>
        <w:t xml:space="preserve">Figure 4. </w:t>
      </w:r>
      <w:r w:rsidRPr="009A6F08">
        <w:rPr>
          <w:rFonts w:cs="Arial"/>
          <w:i/>
          <w:sz w:val="22"/>
          <w:szCs w:val="20"/>
          <w:lang w:val="en-US"/>
        </w:rPr>
        <w:t>Consumer responsiveness and initial consumption levels, 1964-1980 and 1980-1990: a disaggregated view</w:t>
      </w:r>
    </w:p>
    <w:p w14:paraId="4C22C1A7" w14:textId="77777777" w:rsidR="00816EC4" w:rsidRPr="009A6F08" w:rsidRDefault="00816EC4" w:rsidP="00816EC4">
      <w:pPr>
        <w:spacing w:line="240" w:lineRule="auto"/>
        <w:jc w:val="center"/>
        <w:rPr>
          <w:rFonts w:cs="Arial"/>
          <w:b/>
          <w:sz w:val="20"/>
          <w:szCs w:val="20"/>
          <w:lang w:val="en-US"/>
        </w:rPr>
      </w:pPr>
    </w:p>
    <w:p w14:paraId="6C6C13E8" w14:textId="77777777" w:rsidR="00816EC4" w:rsidRPr="009A6F08" w:rsidRDefault="00816EC4" w:rsidP="00816EC4">
      <w:pPr>
        <w:spacing w:line="240" w:lineRule="auto"/>
        <w:jc w:val="center"/>
        <w:rPr>
          <w:rFonts w:cs="Arial"/>
          <w:i/>
          <w:sz w:val="20"/>
          <w:szCs w:val="20"/>
          <w:lang w:val="en-US"/>
        </w:rPr>
      </w:pPr>
      <w:r w:rsidRPr="009A6F08">
        <w:rPr>
          <w:rFonts w:cs="Arial"/>
          <w:noProof/>
          <w:lang w:eastAsia="es-ES"/>
        </w:rPr>
        <w:drawing>
          <wp:inline distT="0" distB="0" distL="0" distR="0" wp14:anchorId="36A14BA3" wp14:editId="64DF890D">
            <wp:extent cx="4362450" cy="3371850"/>
            <wp:effectExtent l="0" t="0" r="0" b="0"/>
            <wp:docPr id="523339551" name="Gráfico 5233395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44AF3C" w14:textId="77777777" w:rsidR="00816EC4" w:rsidRPr="009A6F08" w:rsidRDefault="00816EC4" w:rsidP="00816EC4">
      <w:pPr>
        <w:spacing w:line="240" w:lineRule="auto"/>
        <w:rPr>
          <w:rFonts w:cs="Arial"/>
          <w:sz w:val="20"/>
          <w:szCs w:val="20"/>
          <w:lang w:val="en-US"/>
        </w:rPr>
      </w:pPr>
      <w:r w:rsidRPr="009A6F08">
        <w:rPr>
          <w:rFonts w:cs="Arial"/>
          <w:i/>
          <w:sz w:val="20"/>
          <w:szCs w:val="20"/>
        </w:rPr>
        <w:t xml:space="preserve">Source: </w:t>
      </w:r>
      <w:r w:rsidRPr="009A6F08">
        <w:rPr>
          <w:rFonts w:cs="Arial"/>
          <w:sz w:val="20"/>
          <w:szCs w:val="20"/>
        </w:rPr>
        <w:t xml:space="preserve">INE, </w:t>
      </w:r>
      <w:r w:rsidRPr="009A6F08">
        <w:rPr>
          <w:rFonts w:cs="Arial"/>
          <w:i/>
          <w:sz w:val="20"/>
          <w:szCs w:val="20"/>
        </w:rPr>
        <w:t>Encuesta de presupuestos familiares</w:t>
      </w:r>
      <w:r w:rsidRPr="009A6F08">
        <w:rPr>
          <w:rFonts w:cs="Arial"/>
          <w:sz w:val="20"/>
          <w:szCs w:val="20"/>
        </w:rPr>
        <w:t xml:space="preserve">. </w:t>
      </w:r>
      <w:r w:rsidRPr="009A6F08">
        <w:rPr>
          <w:rFonts w:cs="Arial"/>
          <w:sz w:val="20"/>
          <w:szCs w:val="20"/>
          <w:lang w:val="en-US"/>
        </w:rPr>
        <w:t>See main text for details.</w:t>
      </w:r>
    </w:p>
    <w:p w14:paraId="2B033F54" w14:textId="77777777" w:rsidR="00816EC4" w:rsidRPr="009A6F08" w:rsidRDefault="00816EC4" w:rsidP="00816EC4">
      <w:pPr>
        <w:rPr>
          <w:rFonts w:cs="Arial"/>
          <w:lang w:val="en-US"/>
        </w:rPr>
      </w:pPr>
    </w:p>
    <w:p w14:paraId="644BA82F" w14:textId="77777777" w:rsidR="00262E88" w:rsidRPr="009A6F08" w:rsidRDefault="00262E88" w:rsidP="00512F98">
      <w:pPr>
        <w:spacing w:line="240" w:lineRule="auto"/>
        <w:rPr>
          <w:rFonts w:cs="Arial"/>
          <w:sz w:val="20"/>
          <w:szCs w:val="20"/>
          <w:lang w:val="en-US"/>
        </w:rPr>
      </w:pPr>
    </w:p>
    <w:p w14:paraId="1887F3E6" w14:textId="77777777" w:rsidR="0044114E" w:rsidRPr="009A6F08" w:rsidRDefault="0044114E" w:rsidP="0044114E">
      <w:pPr>
        <w:spacing w:line="240" w:lineRule="auto"/>
        <w:rPr>
          <w:rFonts w:cs="Arial"/>
          <w:i/>
          <w:sz w:val="22"/>
          <w:szCs w:val="20"/>
          <w:lang w:val="en-US"/>
        </w:rPr>
      </w:pPr>
      <w:r w:rsidRPr="009A6F08">
        <w:rPr>
          <w:rFonts w:cs="Arial"/>
          <w:b/>
          <w:sz w:val="22"/>
          <w:szCs w:val="20"/>
          <w:lang w:val="en-US"/>
        </w:rPr>
        <w:lastRenderedPageBreak/>
        <w:t xml:space="preserve">Figure 5. </w:t>
      </w:r>
      <w:r w:rsidRPr="009A6F08">
        <w:rPr>
          <w:rFonts w:cs="Arial"/>
          <w:i/>
          <w:sz w:val="22"/>
          <w:szCs w:val="20"/>
          <w:lang w:val="en-US"/>
        </w:rPr>
        <w:t>Consumer responsiveness curves: raw and processed milk</w:t>
      </w:r>
    </w:p>
    <w:p w14:paraId="32A47AA6" w14:textId="77777777" w:rsidR="0044114E" w:rsidRPr="009A6F08" w:rsidRDefault="0044114E" w:rsidP="0044114E">
      <w:pPr>
        <w:spacing w:line="240" w:lineRule="auto"/>
        <w:jc w:val="center"/>
        <w:rPr>
          <w:rFonts w:cs="Arial"/>
          <w:b/>
          <w:sz w:val="22"/>
          <w:szCs w:val="20"/>
          <w:lang w:val="en-US"/>
        </w:rPr>
      </w:pPr>
    </w:p>
    <w:p w14:paraId="6B01FFB4" w14:textId="77777777" w:rsidR="0044114E" w:rsidRPr="009A6F08" w:rsidRDefault="0044114E" w:rsidP="0044114E">
      <w:pPr>
        <w:spacing w:line="240" w:lineRule="auto"/>
        <w:jc w:val="center"/>
        <w:rPr>
          <w:rFonts w:cs="Arial"/>
          <w:b/>
          <w:sz w:val="20"/>
          <w:szCs w:val="20"/>
          <w:lang w:val="en-US"/>
        </w:rPr>
      </w:pPr>
      <w:r w:rsidRPr="009A6F08">
        <w:rPr>
          <w:rFonts w:cs="Arial"/>
          <w:noProof/>
          <w:lang w:eastAsia="es-ES"/>
        </w:rPr>
        <w:drawing>
          <wp:inline distT="0" distB="0" distL="0" distR="0" wp14:anchorId="12B774A8" wp14:editId="2302FCCB">
            <wp:extent cx="4305300" cy="3286125"/>
            <wp:effectExtent l="0" t="0" r="0" b="0"/>
            <wp:docPr id="2088058369" name="Gráfico 20880583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BB8E95" w14:textId="77777777" w:rsidR="0044114E" w:rsidRPr="009A6F08" w:rsidRDefault="0044114E" w:rsidP="0044114E">
      <w:pPr>
        <w:spacing w:line="240" w:lineRule="auto"/>
        <w:jc w:val="center"/>
        <w:rPr>
          <w:rFonts w:cs="Arial"/>
          <w:i/>
          <w:sz w:val="20"/>
          <w:szCs w:val="20"/>
          <w:lang w:val="en-US"/>
        </w:rPr>
      </w:pPr>
    </w:p>
    <w:p w14:paraId="2459BD14" w14:textId="77777777" w:rsidR="0044114E" w:rsidRPr="009A6F08" w:rsidRDefault="0044114E" w:rsidP="0044114E">
      <w:pPr>
        <w:spacing w:line="240" w:lineRule="auto"/>
        <w:ind w:left="709" w:hanging="709"/>
        <w:rPr>
          <w:rFonts w:cs="Arial"/>
          <w:sz w:val="20"/>
          <w:szCs w:val="20"/>
          <w:lang w:val="en-US"/>
        </w:rPr>
      </w:pPr>
      <w:r w:rsidRPr="009A6F08">
        <w:rPr>
          <w:rFonts w:cs="Arial"/>
          <w:i/>
          <w:sz w:val="20"/>
          <w:szCs w:val="20"/>
        </w:rPr>
        <w:t xml:space="preserve">Source: </w:t>
      </w:r>
      <w:r w:rsidRPr="009A6F08">
        <w:rPr>
          <w:rFonts w:cs="Arial"/>
          <w:sz w:val="20"/>
          <w:szCs w:val="20"/>
        </w:rPr>
        <w:t xml:space="preserve">INE, </w:t>
      </w:r>
      <w:r w:rsidRPr="009A6F08">
        <w:rPr>
          <w:rFonts w:cs="Arial"/>
          <w:i/>
          <w:sz w:val="20"/>
          <w:szCs w:val="20"/>
        </w:rPr>
        <w:t>Encuesta de presupuestos familiares</w:t>
      </w:r>
      <w:r w:rsidRPr="009A6F08">
        <w:rPr>
          <w:rFonts w:cs="Arial"/>
          <w:sz w:val="20"/>
          <w:szCs w:val="20"/>
        </w:rPr>
        <w:t xml:space="preserve">; MAPA, </w:t>
      </w:r>
      <w:r w:rsidRPr="009A6F08">
        <w:rPr>
          <w:rFonts w:cs="Arial"/>
          <w:i/>
          <w:sz w:val="20"/>
          <w:szCs w:val="20"/>
        </w:rPr>
        <w:t>Consumo alimentario</w:t>
      </w:r>
      <w:r w:rsidRPr="009A6F08">
        <w:rPr>
          <w:rFonts w:cs="Arial"/>
          <w:sz w:val="20"/>
          <w:szCs w:val="20"/>
        </w:rPr>
        <w:t xml:space="preserve">; figure 3. </w:t>
      </w:r>
      <w:r w:rsidRPr="009A6F08">
        <w:rPr>
          <w:rFonts w:cs="Arial"/>
          <w:sz w:val="20"/>
          <w:szCs w:val="20"/>
          <w:lang w:val="en-US"/>
        </w:rPr>
        <w:t>See main text for details.</w:t>
      </w:r>
    </w:p>
    <w:p w14:paraId="21B75EAA" w14:textId="77777777" w:rsidR="0044114E" w:rsidRPr="009A6F08" w:rsidRDefault="0044114E" w:rsidP="0044114E">
      <w:pPr>
        <w:rPr>
          <w:rFonts w:cs="Arial"/>
        </w:rPr>
      </w:pPr>
    </w:p>
    <w:p w14:paraId="35748EBC" w14:textId="77777777" w:rsidR="00843880" w:rsidRPr="009A6F08" w:rsidRDefault="00843880" w:rsidP="00843880">
      <w:pPr>
        <w:spacing w:line="240" w:lineRule="auto"/>
        <w:ind w:left="993" w:hanging="993"/>
        <w:jc w:val="left"/>
        <w:rPr>
          <w:rFonts w:cs="Arial"/>
          <w:i/>
          <w:sz w:val="22"/>
          <w:szCs w:val="20"/>
          <w:lang w:val="en-US"/>
        </w:rPr>
      </w:pPr>
      <w:r w:rsidRPr="009A6F08">
        <w:rPr>
          <w:rFonts w:cs="Arial"/>
          <w:b/>
          <w:sz w:val="22"/>
          <w:szCs w:val="20"/>
          <w:lang w:val="en-US"/>
        </w:rPr>
        <w:t xml:space="preserve">Figure 6. </w:t>
      </w:r>
      <w:r w:rsidRPr="009A6F08">
        <w:rPr>
          <w:rFonts w:cs="Arial"/>
          <w:i/>
          <w:sz w:val="22"/>
          <w:szCs w:val="20"/>
          <w:lang w:val="en-US"/>
        </w:rPr>
        <w:t>Consumption of raw and processed milk by status groups in 1990 (litres per person and year)</w:t>
      </w:r>
    </w:p>
    <w:p w14:paraId="53949458" w14:textId="77777777" w:rsidR="00843880" w:rsidRPr="009A6F08" w:rsidRDefault="00843880" w:rsidP="00843880">
      <w:pPr>
        <w:spacing w:line="240" w:lineRule="auto"/>
        <w:jc w:val="center"/>
        <w:rPr>
          <w:rFonts w:cs="Arial"/>
          <w:i/>
          <w:sz w:val="20"/>
          <w:szCs w:val="20"/>
          <w:lang w:val="en-US"/>
        </w:rPr>
      </w:pPr>
    </w:p>
    <w:p w14:paraId="060BC9D7" w14:textId="77777777" w:rsidR="00843880" w:rsidRPr="009A6F08" w:rsidRDefault="00843880" w:rsidP="00843880">
      <w:pPr>
        <w:spacing w:line="240" w:lineRule="auto"/>
        <w:jc w:val="center"/>
        <w:rPr>
          <w:rFonts w:cs="Arial"/>
          <w:i/>
          <w:sz w:val="20"/>
          <w:szCs w:val="20"/>
        </w:rPr>
      </w:pPr>
      <w:r w:rsidRPr="009A6F08">
        <w:rPr>
          <w:rFonts w:cs="Arial"/>
          <w:noProof/>
          <w:lang w:eastAsia="es-ES"/>
        </w:rPr>
        <w:drawing>
          <wp:inline distT="0" distB="0" distL="0" distR="0" wp14:anchorId="54025DE5" wp14:editId="79D90722">
            <wp:extent cx="4524375" cy="3343275"/>
            <wp:effectExtent l="0" t="0" r="0" b="0"/>
            <wp:docPr id="1280550690" name="Gráfico 12805506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4AF6BB" w14:textId="77777777" w:rsidR="00843880" w:rsidRPr="009A6F08" w:rsidRDefault="00843880" w:rsidP="00843880">
      <w:pPr>
        <w:spacing w:line="240" w:lineRule="auto"/>
        <w:jc w:val="center"/>
        <w:rPr>
          <w:rFonts w:cs="Arial"/>
          <w:i/>
          <w:sz w:val="20"/>
          <w:szCs w:val="20"/>
        </w:rPr>
      </w:pPr>
    </w:p>
    <w:p w14:paraId="0FE80B33" w14:textId="77777777" w:rsidR="00843880" w:rsidRPr="009A6F08" w:rsidRDefault="00843880" w:rsidP="00843880">
      <w:pPr>
        <w:spacing w:line="240" w:lineRule="auto"/>
        <w:rPr>
          <w:rFonts w:cs="Arial"/>
          <w:sz w:val="20"/>
          <w:szCs w:val="20"/>
          <w:lang w:val="en-US"/>
        </w:rPr>
      </w:pPr>
      <w:r w:rsidRPr="009A6F08">
        <w:rPr>
          <w:rFonts w:cs="Arial"/>
          <w:i/>
          <w:sz w:val="20"/>
          <w:szCs w:val="20"/>
          <w:lang w:val="en-US"/>
        </w:rPr>
        <w:t>Source:</w:t>
      </w:r>
      <w:r w:rsidRPr="009A6F08">
        <w:rPr>
          <w:rFonts w:cs="Arial"/>
          <w:sz w:val="20"/>
          <w:szCs w:val="20"/>
          <w:lang w:val="en-US"/>
        </w:rPr>
        <w:t xml:space="preserve"> MAPA, </w:t>
      </w:r>
      <w:r w:rsidRPr="009A6F08">
        <w:rPr>
          <w:rFonts w:cs="Arial"/>
          <w:i/>
          <w:sz w:val="20"/>
          <w:szCs w:val="20"/>
          <w:lang w:val="en-US"/>
        </w:rPr>
        <w:t>Consumo alimentario</w:t>
      </w:r>
      <w:r w:rsidRPr="009A6F08">
        <w:rPr>
          <w:rFonts w:cs="Arial"/>
          <w:sz w:val="20"/>
          <w:szCs w:val="20"/>
          <w:lang w:val="en-US"/>
        </w:rPr>
        <w:t>.</w:t>
      </w:r>
    </w:p>
    <w:p w14:paraId="2761CCAF" w14:textId="77777777" w:rsidR="00816EC4" w:rsidRPr="009A6F08" w:rsidRDefault="00816EC4" w:rsidP="00512F98">
      <w:pPr>
        <w:spacing w:line="240" w:lineRule="auto"/>
        <w:rPr>
          <w:rFonts w:cs="Arial"/>
          <w:sz w:val="20"/>
          <w:szCs w:val="20"/>
          <w:lang w:val="en-US"/>
        </w:rPr>
      </w:pPr>
    </w:p>
    <w:p w14:paraId="321FB237" w14:textId="77777777" w:rsidR="00843880" w:rsidRPr="009A6F08" w:rsidRDefault="00843880" w:rsidP="00512F98">
      <w:pPr>
        <w:spacing w:line="240" w:lineRule="auto"/>
        <w:rPr>
          <w:rFonts w:cs="Arial"/>
          <w:sz w:val="20"/>
          <w:szCs w:val="20"/>
          <w:lang w:val="en-US"/>
        </w:rPr>
      </w:pPr>
    </w:p>
    <w:p w14:paraId="20BDB2CA" w14:textId="77777777" w:rsidR="00843880" w:rsidRPr="009A6F08" w:rsidRDefault="00843880" w:rsidP="00512F98">
      <w:pPr>
        <w:spacing w:line="240" w:lineRule="auto"/>
        <w:rPr>
          <w:rFonts w:cs="Arial"/>
          <w:sz w:val="20"/>
          <w:szCs w:val="20"/>
          <w:lang w:val="en-US"/>
        </w:rPr>
      </w:pPr>
    </w:p>
    <w:p w14:paraId="71DA1A2E" w14:textId="77777777" w:rsidR="00AC6569" w:rsidRPr="009A6F08" w:rsidRDefault="00AC6569" w:rsidP="00AC6569">
      <w:pPr>
        <w:spacing w:line="240" w:lineRule="auto"/>
        <w:rPr>
          <w:rFonts w:cs="Arial"/>
          <w:b/>
          <w:sz w:val="22"/>
          <w:szCs w:val="22"/>
          <w:lang w:val="en-GB"/>
        </w:rPr>
      </w:pPr>
      <w:r w:rsidRPr="009A6F08">
        <w:rPr>
          <w:rFonts w:cs="Arial"/>
          <w:b/>
          <w:sz w:val="22"/>
          <w:szCs w:val="22"/>
          <w:lang w:val="en-GB"/>
        </w:rPr>
        <w:lastRenderedPageBreak/>
        <w:t xml:space="preserve">Table 1. </w:t>
      </w:r>
      <w:r w:rsidRPr="009A6F08">
        <w:rPr>
          <w:rFonts w:cs="Arial"/>
          <w:i/>
          <w:sz w:val="22"/>
          <w:szCs w:val="22"/>
          <w:lang w:val="en-GB"/>
        </w:rPr>
        <w:t>Basic data about the consumption of dairy products in Spain</w:t>
      </w:r>
    </w:p>
    <w:p w14:paraId="572B58B6" w14:textId="77777777" w:rsidR="00AC6569" w:rsidRPr="009A6F08" w:rsidRDefault="00AC6569" w:rsidP="00AC6569">
      <w:pPr>
        <w:spacing w:line="240" w:lineRule="auto"/>
        <w:jc w:val="left"/>
        <w:rPr>
          <w:rFonts w:cs="Arial"/>
          <w:b/>
          <w:sz w:val="22"/>
          <w:szCs w:val="22"/>
          <w:lang w:val="en-GB"/>
        </w:rPr>
      </w:pPr>
    </w:p>
    <w:tbl>
      <w:tblPr>
        <w:tblStyle w:val="CJE"/>
        <w:tblW w:w="8720" w:type="dxa"/>
        <w:jc w:val="center"/>
        <w:tblLook w:val="04A0" w:firstRow="1" w:lastRow="0" w:firstColumn="1" w:lastColumn="0" w:noHBand="0" w:noVBand="1"/>
      </w:tblPr>
      <w:tblGrid>
        <w:gridCol w:w="3913"/>
        <w:gridCol w:w="1256"/>
        <w:gridCol w:w="1078"/>
        <w:gridCol w:w="1256"/>
        <w:gridCol w:w="1217"/>
      </w:tblGrid>
      <w:tr w:rsidR="00AC6569" w:rsidRPr="009A6F08" w14:paraId="5796EBB6" w14:textId="77777777" w:rsidTr="00F721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3" w:type="dxa"/>
          </w:tcPr>
          <w:p w14:paraId="34F71DA7" w14:textId="77777777" w:rsidR="00AC6569" w:rsidRPr="009A6F08" w:rsidRDefault="00AC6569" w:rsidP="00F721B7">
            <w:pPr>
              <w:jc w:val="left"/>
              <w:rPr>
                <w:rFonts w:cs="Arial"/>
                <w:sz w:val="22"/>
                <w:szCs w:val="22"/>
                <w:lang w:val="en-GB"/>
              </w:rPr>
            </w:pPr>
          </w:p>
        </w:tc>
        <w:tc>
          <w:tcPr>
            <w:tcW w:w="1256" w:type="dxa"/>
          </w:tcPr>
          <w:p w14:paraId="073959DA" w14:textId="77777777" w:rsidR="00AC6569" w:rsidRPr="009A6F08" w:rsidRDefault="00AC6569"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1964/5</w:t>
            </w:r>
            <w:r w:rsidRPr="009A6F08">
              <w:rPr>
                <w:rFonts w:cs="Arial"/>
                <w:i/>
                <w:sz w:val="22"/>
                <w:szCs w:val="22"/>
                <w:vertAlign w:val="superscript"/>
                <w:lang w:val="en-GB"/>
              </w:rPr>
              <w:t>a</w:t>
            </w:r>
          </w:p>
        </w:tc>
        <w:tc>
          <w:tcPr>
            <w:tcW w:w="1078" w:type="dxa"/>
          </w:tcPr>
          <w:p w14:paraId="3E38ACEE" w14:textId="77777777" w:rsidR="00AC6569" w:rsidRPr="009A6F08" w:rsidRDefault="00AC6569" w:rsidP="00F721B7">
            <w:pPr>
              <w:cnfStyle w:val="100000000000" w:firstRow="1" w:lastRow="0" w:firstColumn="0" w:lastColumn="0" w:oddVBand="0" w:evenVBand="0" w:oddHBand="0" w:evenHBand="0" w:firstRowFirstColumn="0" w:firstRowLastColumn="0" w:lastRowFirstColumn="0" w:lastRowLastColumn="0"/>
              <w:rPr>
                <w:rFonts w:cs="Arial"/>
                <w:sz w:val="22"/>
                <w:szCs w:val="22"/>
                <w:vertAlign w:val="superscript"/>
                <w:lang w:val="en-GB"/>
              </w:rPr>
            </w:pPr>
            <w:r w:rsidRPr="009A6F08">
              <w:rPr>
                <w:rFonts w:cs="Arial"/>
                <w:sz w:val="22"/>
                <w:szCs w:val="22"/>
                <w:lang w:val="en-GB"/>
              </w:rPr>
              <w:t>1973/4</w:t>
            </w:r>
            <w:r w:rsidRPr="009A6F08">
              <w:rPr>
                <w:rFonts w:cs="Arial"/>
                <w:i/>
                <w:sz w:val="22"/>
                <w:szCs w:val="22"/>
                <w:vertAlign w:val="superscript"/>
                <w:lang w:val="en-GB"/>
              </w:rPr>
              <w:t>a</w:t>
            </w:r>
          </w:p>
        </w:tc>
        <w:tc>
          <w:tcPr>
            <w:tcW w:w="1256" w:type="dxa"/>
          </w:tcPr>
          <w:p w14:paraId="1F4EEACC" w14:textId="77777777" w:rsidR="00AC6569" w:rsidRPr="009A6F08" w:rsidRDefault="00AC6569"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1980/1</w:t>
            </w:r>
            <w:r w:rsidRPr="009A6F08">
              <w:rPr>
                <w:rFonts w:cs="Arial"/>
                <w:i/>
                <w:sz w:val="22"/>
                <w:szCs w:val="22"/>
                <w:vertAlign w:val="superscript"/>
                <w:lang w:val="en-GB"/>
              </w:rPr>
              <w:t>a</w:t>
            </w:r>
          </w:p>
        </w:tc>
        <w:tc>
          <w:tcPr>
            <w:tcW w:w="1217" w:type="dxa"/>
          </w:tcPr>
          <w:p w14:paraId="319260C3" w14:textId="77777777" w:rsidR="00AC6569" w:rsidRPr="009A6F08" w:rsidRDefault="00AC6569"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1990/1</w:t>
            </w:r>
          </w:p>
        </w:tc>
      </w:tr>
      <w:tr w:rsidR="00AC6569" w:rsidRPr="009A6F08" w14:paraId="52E396B5"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53DD7AE9" w14:textId="77777777" w:rsidR="00AC6569" w:rsidRPr="009A6F08" w:rsidRDefault="00AC6569" w:rsidP="00F721B7">
            <w:pPr>
              <w:rPr>
                <w:rFonts w:cs="Arial"/>
                <w:sz w:val="22"/>
                <w:szCs w:val="22"/>
                <w:lang w:val="en-GB"/>
              </w:rPr>
            </w:pPr>
          </w:p>
        </w:tc>
        <w:tc>
          <w:tcPr>
            <w:tcW w:w="1256" w:type="dxa"/>
          </w:tcPr>
          <w:p w14:paraId="72C115A8" w14:textId="77777777" w:rsidR="00AC6569" w:rsidRPr="009A6F08" w:rsidRDefault="00AC6569"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078" w:type="dxa"/>
          </w:tcPr>
          <w:p w14:paraId="7468C623" w14:textId="77777777" w:rsidR="00AC6569" w:rsidRPr="009A6F08" w:rsidRDefault="00AC6569"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72863382" w14:textId="77777777" w:rsidR="00AC6569" w:rsidRPr="009A6F08" w:rsidRDefault="00AC6569"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17" w:type="dxa"/>
          </w:tcPr>
          <w:p w14:paraId="2172F9BD" w14:textId="77777777" w:rsidR="00AC6569" w:rsidRPr="009A6F08" w:rsidRDefault="00AC6569"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AC6569" w:rsidRPr="009A6F08" w14:paraId="25B5D363"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00198FCD" w14:textId="77777777" w:rsidR="00AC6569" w:rsidRPr="009A6F08" w:rsidRDefault="00AC6569" w:rsidP="00F721B7">
            <w:pPr>
              <w:rPr>
                <w:rFonts w:cs="Arial"/>
                <w:sz w:val="22"/>
                <w:szCs w:val="22"/>
                <w:lang w:val="en-GB"/>
              </w:rPr>
            </w:pPr>
            <w:r w:rsidRPr="009A6F08">
              <w:rPr>
                <w:rFonts w:cs="Arial"/>
                <w:sz w:val="22"/>
                <w:szCs w:val="22"/>
                <w:lang w:val="en-GB"/>
              </w:rPr>
              <w:t>Consumption (kg. per person and year)</w:t>
            </w:r>
          </w:p>
        </w:tc>
        <w:tc>
          <w:tcPr>
            <w:tcW w:w="1256" w:type="dxa"/>
          </w:tcPr>
          <w:p w14:paraId="6FAE4A1E" w14:textId="77777777" w:rsidR="00AC6569" w:rsidRPr="009A6F08" w:rsidRDefault="00AC6569" w:rsidP="00F721B7">
            <w:pPr>
              <w:ind w:left="-410" w:right="190"/>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078" w:type="dxa"/>
          </w:tcPr>
          <w:p w14:paraId="0C5E45E8" w14:textId="77777777" w:rsidR="00AC6569" w:rsidRPr="009A6F08" w:rsidRDefault="00AC6569" w:rsidP="00F721B7">
            <w:pPr>
              <w:ind w:left="-410" w:right="190"/>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17AC90DA" w14:textId="77777777" w:rsidR="00AC6569" w:rsidRPr="009A6F08" w:rsidRDefault="00AC6569" w:rsidP="00F721B7">
            <w:pPr>
              <w:ind w:left="-410" w:right="190"/>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17" w:type="dxa"/>
          </w:tcPr>
          <w:p w14:paraId="523DBE2E" w14:textId="77777777" w:rsidR="00AC6569" w:rsidRPr="009A6F08" w:rsidRDefault="00AC6569" w:rsidP="00F721B7">
            <w:pPr>
              <w:ind w:left="-410" w:right="190"/>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AC6569" w:rsidRPr="009A6F08" w14:paraId="35936899"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4B7B4D4A" w14:textId="77777777" w:rsidR="00AC6569" w:rsidRPr="009A6F08" w:rsidRDefault="00AC6569" w:rsidP="00F721B7">
            <w:pPr>
              <w:ind w:firstLine="284"/>
              <w:rPr>
                <w:rFonts w:cs="Arial"/>
                <w:sz w:val="22"/>
                <w:szCs w:val="22"/>
                <w:lang w:val="en-GB"/>
              </w:rPr>
            </w:pPr>
            <w:r w:rsidRPr="009A6F08">
              <w:rPr>
                <w:rFonts w:cs="Arial"/>
                <w:sz w:val="22"/>
                <w:szCs w:val="22"/>
                <w:lang w:val="en-GB"/>
              </w:rPr>
              <w:t>Liquid milk</w:t>
            </w:r>
          </w:p>
        </w:tc>
        <w:tc>
          <w:tcPr>
            <w:tcW w:w="1256" w:type="dxa"/>
          </w:tcPr>
          <w:p w14:paraId="5450DEEE"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81.1</w:t>
            </w:r>
          </w:p>
        </w:tc>
        <w:tc>
          <w:tcPr>
            <w:tcW w:w="1078" w:type="dxa"/>
          </w:tcPr>
          <w:p w14:paraId="3D854281" w14:textId="77777777" w:rsidR="00AC6569" w:rsidRPr="009A6F08" w:rsidRDefault="00AC6569" w:rsidP="00F721B7">
            <w:pPr>
              <w:ind w:left="-408" w:right="198"/>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119.4</w:t>
            </w:r>
          </w:p>
        </w:tc>
        <w:tc>
          <w:tcPr>
            <w:tcW w:w="1256" w:type="dxa"/>
          </w:tcPr>
          <w:p w14:paraId="3C5513DF"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128.9</w:t>
            </w:r>
          </w:p>
        </w:tc>
        <w:tc>
          <w:tcPr>
            <w:tcW w:w="1217" w:type="dxa"/>
          </w:tcPr>
          <w:p w14:paraId="26E83704"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130.7</w:t>
            </w:r>
          </w:p>
        </w:tc>
      </w:tr>
      <w:tr w:rsidR="00AC6569" w:rsidRPr="009A6F08" w14:paraId="3AF00D89"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73208EBE" w14:textId="77777777" w:rsidR="00AC6569" w:rsidRPr="009A6F08" w:rsidRDefault="00AC6569" w:rsidP="00F721B7">
            <w:pPr>
              <w:ind w:firstLine="567"/>
              <w:rPr>
                <w:rFonts w:cs="Arial"/>
                <w:sz w:val="22"/>
                <w:szCs w:val="22"/>
                <w:lang w:val="en-GB"/>
              </w:rPr>
            </w:pPr>
            <w:r w:rsidRPr="009A6F08">
              <w:rPr>
                <w:rFonts w:cs="Arial"/>
                <w:sz w:val="22"/>
                <w:szCs w:val="22"/>
                <w:lang w:val="en-GB"/>
              </w:rPr>
              <w:t>Broken down by income level</w:t>
            </w:r>
            <w:r w:rsidRPr="009A6F08">
              <w:rPr>
                <w:rFonts w:cs="Arial"/>
                <w:i/>
                <w:sz w:val="22"/>
                <w:szCs w:val="22"/>
                <w:vertAlign w:val="superscript"/>
                <w:lang w:val="en-GB"/>
              </w:rPr>
              <w:t>a</w:t>
            </w:r>
          </w:p>
        </w:tc>
        <w:tc>
          <w:tcPr>
            <w:tcW w:w="1256" w:type="dxa"/>
          </w:tcPr>
          <w:p w14:paraId="43111512"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078" w:type="dxa"/>
          </w:tcPr>
          <w:p w14:paraId="01622BBC"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2E3476C2"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17" w:type="dxa"/>
          </w:tcPr>
          <w:p w14:paraId="2DBCB171"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AC6569" w:rsidRPr="009A6F08" w14:paraId="764925F9"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26441BEC" w14:textId="77777777" w:rsidR="00AC6569" w:rsidRPr="009A6F08" w:rsidRDefault="00AC6569" w:rsidP="00F721B7">
            <w:pPr>
              <w:ind w:firstLine="851"/>
              <w:rPr>
                <w:rFonts w:cs="Arial"/>
                <w:sz w:val="22"/>
                <w:szCs w:val="22"/>
                <w:lang w:val="en-US"/>
              </w:rPr>
            </w:pPr>
            <w:r w:rsidRPr="009A6F08">
              <w:rPr>
                <w:rFonts w:cs="Arial"/>
                <w:sz w:val="22"/>
                <w:szCs w:val="22"/>
                <w:lang w:val="en-US"/>
              </w:rPr>
              <w:t>First quartile</w:t>
            </w:r>
          </w:p>
        </w:tc>
        <w:tc>
          <w:tcPr>
            <w:tcW w:w="1256" w:type="dxa"/>
          </w:tcPr>
          <w:p w14:paraId="1DEFF21F"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60.4</w:t>
            </w:r>
          </w:p>
        </w:tc>
        <w:tc>
          <w:tcPr>
            <w:tcW w:w="1078" w:type="dxa"/>
          </w:tcPr>
          <w:p w14:paraId="19284A62"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39BA5124"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129.7</w:t>
            </w:r>
          </w:p>
        </w:tc>
        <w:tc>
          <w:tcPr>
            <w:tcW w:w="1217" w:type="dxa"/>
          </w:tcPr>
          <w:p w14:paraId="3BC7AD1E"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133.3</w:t>
            </w:r>
          </w:p>
        </w:tc>
      </w:tr>
      <w:tr w:rsidR="00AC6569" w:rsidRPr="009A6F08" w14:paraId="210D2CEB"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6F42A5A2" w14:textId="77777777" w:rsidR="00AC6569" w:rsidRPr="009A6F08" w:rsidRDefault="00AC6569" w:rsidP="00F721B7">
            <w:pPr>
              <w:ind w:firstLine="851"/>
              <w:rPr>
                <w:rFonts w:cs="Arial"/>
                <w:sz w:val="22"/>
                <w:szCs w:val="22"/>
                <w:lang w:val="en-US"/>
              </w:rPr>
            </w:pPr>
            <w:r w:rsidRPr="009A6F08">
              <w:rPr>
                <w:rFonts w:cs="Arial"/>
                <w:sz w:val="22"/>
                <w:szCs w:val="22"/>
                <w:lang w:val="en-US"/>
              </w:rPr>
              <w:t>Second quartile</w:t>
            </w:r>
          </w:p>
        </w:tc>
        <w:tc>
          <w:tcPr>
            <w:tcW w:w="1256" w:type="dxa"/>
          </w:tcPr>
          <w:p w14:paraId="6AD93282"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67.6</w:t>
            </w:r>
          </w:p>
        </w:tc>
        <w:tc>
          <w:tcPr>
            <w:tcW w:w="1078" w:type="dxa"/>
          </w:tcPr>
          <w:p w14:paraId="29738C68"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50DE29E7"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124.8</w:t>
            </w:r>
          </w:p>
        </w:tc>
        <w:tc>
          <w:tcPr>
            <w:tcW w:w="1217" w:type="dxa"/>
          </w:tcPr>
          <w:p w14:paraId="75FA5EA1"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125.6</w:t>
            </w:r>
          </w:p>
        </w:tc>
      </w:tr>
      <w:tr w:rsidR="00AC6569" w:rsidRPr="009A6F08" w14:paraId="5A07CD4D"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1180F28A" w14:textId="77777777" w:rsidR="00AC6569" w:rsidRPr="009A6F08" w:rsidRDefault="00AC6569" w:rsidP="00F721B7">
            <w:pPr>
              <w:ind w:firstLine="851"/>
              <w:rPr>
                <w:rFonts w:cs="Arial"/>
                <w:sz w:val="22"/>
                <w:szCs w:val="22"/>
                <w:lang w:val="en-US"/>
              </w:rPr>
            </w:pPr>
            <w:r w:rsidRPr="009A6F08">
              <w:rPr>
                <w:rFonts w:cs="Arial"/>
                <w:sz w:val="22"/>
                <w:szCs w:val="22"/>
                <w:lang w:val="en-US"/>
              </w:rPr>
              <w:t>Third quartile</w:t>
            </w:r>
          </w:p>
        </w:tc>
        <w:tc>
          <w:tcPr>
            <w:tcW w:w="1256" w:type="dxa"/>
          </w:tcPr>
          <w:p w14:paraId="1AE55055"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85.2</w:t>
            </w:r>
          </w:p>
        </w:tc>
        <w:tc>
          <w:tcPr>
            <w:tcW w:w="1078" w:type="dxa"/>
          </w:tcPr>
          <w:p w14:paraId="6A478932"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55672578"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130.4</w:t>
            </w:r>
          </w:p>
        </w:tc>
        <w:tc>
          <w:tcPr>
            <w:tcW w:w="1217" w:type="dxa"/>
          </w:tcPr>
          <w:p w14:paraId="7115526B"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120.7</w:t>
            </w:r>
          </w:p>
        </w:tc>
      </w:tr>
      <w:tr w:rsidR="00AC6569" w:rsidRPr="009A6F08" w14:paraId="1F65B931"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785BFBAE" w14:textId="77777777" w:rsidR="00AC6569" w:rsidRPr="009A6F08" w:rsidRDefault="00AC6569" w:rsidP="00F721B7">
            <w:pPr>
              <w:ind w:firstLine="851"/>
              <w:rPr>
                <w:rFonts w:cs="Arial"/>
                <w:sz w:val="22"/>
                <w:szCs w:val="22"/>
                <w:lang w:val="en-US"/>
              </w:rPr>
            </w:pPr>
            <w:r w:rsidRPr="009A6F08">
              <w:rPr>
                <w:rFonts w:cs="Arial"/>
                <w:sz w:val="22"/>
                <w:szCs w:val="22"/>
                <w:lang w:val="en-US"/>
              </w:rPr>
              <w:t>Fourth quartile</w:t>
            </w:r>
          </w:p>
        </w:tc>
        <w:tc>
          <w:tcPr>
            <w:tcW w:w="1256" w:type="dxa"/>
          </w:tcPr>
          <w:p w14:paraId="7BD333F3"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101.6</w:t>
            </w:r>
          </w:p>
        </w:tc>
        <w:tc>
          <w:tcPr>
            <w:tcW w:w="1078" w:type="dxa"/>
          </w:tcPr>
          <w:p w14:paraId="707CE749"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02C1DF06"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130.2</w:t>
            </w:r>
          </w:p>
        </w:tc>
        <w:tc>
          <w:tcPr>
            <w:tcW w:w="1217" w:type="dxa"/>
          </w:tcPr>
          <w:p w14:paraId="62959443"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111.0</w:t>
            </w:r>
          </w:p>
        </w:tc>
      </w:tr>
      <w:tr w:rsidR="00AC6569" w:rsidRPr="009A6F08" w14:paraId="53547413"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1C7E5808" w14:textId="77777777" w:rsidR="00AC6569" w:rsidRPr="009A6F08" w:rsidRDefault="00AC6569" w:rsidP="00F721B7">
            <w:pPr>
              <w:ind w:firstLine="567"/>
              <w:rPr>
                <w:rFonts w:cs="Arial"/>
                <w:sz w:val="22"/>
                <w:szCs w:val="22"/>
                <w:lang w:val="en-US"/>
              </w:rPr>
            </w:pPr>
            <w:r w:rsidRPr="009A6F08">
              <w:rPr>
                <w:rFonts w:cs="Arial"/>
                <w:sz w:val="22"/>
                <w:szCs w:val="22"/>
                <w:lang w:val="en-US"/>
              </w:rPr>
              <w:t>Broken down by region</w:t>
            </w:r>
          </w:p>
        </w:tc>
        <w:tc>
          <w:tcPr>
            <w:tcW w:w="1256" w:type="dxa"/>
          </w:tcPr>
          <w:p w14:paraId="3603EC78" w14:textId="77777777" w:rsidR="00AC6569" w:rsidRPr="009A6F08" w:rsidRDefault="00AC6569" w:rsidP="00F721B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078" w:type="dxa"/>
          </w:tcPr>
          <w:p w14:paraId="4F938EF6" w14:textId="77777777" w:rsidR="00AC6569" w:rsidRPr="009A6F08" w:rsidRDefault="00AC6569" w:rsidP="00F721B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256" w:type="dxa"/>
          </w:tcPr>
          <w:p w14:paraId="6AE04543" w14:textId="77777777" w:rsidR="00AC6569" w:rsidRPr="009A6F08" w:rsidRDefault="00AC6569" w:rsidP="00F721B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217" w:type="dxa"/>
          </w:tcPr>
          <w:p w14:paraId="38CE09A3" w14:textId="77777777" w:rsidR="00AC6569" w:rsidRPr="009A6F08" w:rsidRDefault="00AC6569" w:rsidP="00F721B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r>
      <w:tr w:rsidR="00AC6569" w:rsidRPr="009A6F08" w14:paraId="1238C40F"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69F5F024" w14:textId="77777777" w:rsidR="00AC6569" w:rsidRPr="009A6F08" w:rsidRDefault="00AC6569" w:rsidP="00F721B7">
            <w:pPr>
              <w:ind w:firstLine="851"/>
              <w:rPr>
                <w:rFonts w:cs="Arial"/>
                <w:sz w:val="22"/>
                <w:szCs w:val="22"/>
                <w:lang w:val="en-GB"/>
              </w:rPr>
            </w:pPr>
            <w:r w:rsidRPr="009A6F08">
              <w:rPr>
                <w:rFonts w:cs="Arial"/>
                <w:sz w:val="22"/>
                <w:szCs w:val="22"/>
                <w:lang w:val="en-GB"/>
              </w:rPr>
              <w:t>North</w:t>
            </w:r>
            <w:r w:rsidRPr="009A6F08">
              <w:rPr>
                <w:rFonts w:cs="Arial"/>
                <w:i/>
                <w:sz w:val="22"/>
                <w:szCs w:val="22"/>
                <w:vertAlign w:val="superscript"/>
                <w:lang w:val="en-GB"/>
              </w:rPr>
              <w:t>b</w:t>
            </w:r>
          </w:p>
        </w:tc>
        <w:tc>
          <w:tcPr>
            <w:tcW w:w="1256" w:type="dxa"/>
          </w:tcPr>
          <w:p w14:paraId="1B0A7CDB"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142.3</w:t>
            </w:r>
          </w:p>
        </w:tc>
        <w:tc>
          <w:tcPr>
            <w:tcW w:w="1078" w:type="dxa"/>
          </w:tcPr>
          <w:p w14:paraId="7C64A6FC"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3C67120D"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172.8</w:t>
            </w:r>
          </w:p>
        </w:tc>
        <w:tc>
          <w:tcPr>
            <w:tcW w:w="1217" w:type="dxa"/>
          </w:tcPr>
          <w:p w14:paraId="592C43FA"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153.1</w:t>
            </w:r>
          </w:p>
        </w:tc>
      </w:tr>
      <w:tr w:rsidR="00AC6569" w:rsidRPr="009A6F08" w14:paraId="7A1FF207"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26C63F0E" w14:textId="77777777" w:rsidR="00AC6569" w:rsidRPr="009A6F08" w:rsidRDefault="00AC6569" w:rsidP="00F721B7">
            <w:pPr>
              <w:ind w:firstLine="851"/>
              <w:rPr>
                <w:rFonts w:cs="Arial"/>
                <w:sz w:val="22"/>
                <w:szCs w:val="22"/>
                <w:lang w:val="en-GB"/>
              </w:rPr>
            </w:pPr>
            <w:r w:rsidRPr="009A6F08">
              <w:rPr>
                <w:rFonts w:cs="Arial"/>
                <w:sz w:val="22"/>
                <w:szCs w:val="22"/>
                <w:lang w:val="en-GB"/>
              </w:rPr>
              <w:t>Interior</w:t>
            </w:r>
            <w:r w:rsidRPr="009A6F08">
              <w:rPr>
                <w:rFonts w:cs="Arial"/>
                <w:i/>
                <w:sz w:val="22"/>
                <w:szCs w:val="22"/>
                <w:vertAlign w:val="superscript"/>
                <w:lang w:val="en-GB"/>
              </w:rPr>
              <w:t>c</w:t>
            </w:r>
          </w:p>
        </w:tc>
        <w:tc>
          <w:tcPr>
            <w:tcW w:w="1256" w:type="dxa"/>
          </w:tcPr>
          <w:p w14:paraId="1E6DBA21"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86.9</w:t>
            </w:r>
          </w:p>
        </w:tc>
        <w:tc>
          <w:tcPr>
            <w:tcW w:w="1078" w:type="dxa"/>
          </w:tcPr>
          <w:p w14:paraId="728A46BF"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3DC90785"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145.9</w:t>
            </w:r>
          </w:p>
        </w:tc>
        <w:tc>
          <w:tcPr>
            <w:tcW w:w="1217" w:type="dxa"/>
          </w:tcPr>
          <w:p w14:paraId="64325627"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132.5</w:t>
            </w:r>
          </w:p>
        </w:tc>
      </w:tr>
      <w:tr w:rsidR="00AC6569" w:rsidRPr="009A6F08" w14:paraId="56D113DA"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3694EAE8" w14:textId="77777777" w:rsidR="00AC6569" w:rsidRPr="009A6F08" w:rsidRDefault="00AC6569" w:rsidP="00F721B7">
            <w:pPr>
              <w:ind w:firstLine="851"/>
              <w:rPr>
                <w:rFonts w:cs="Arial"/>
                <w:sz w:val="22"/>
                <w:szCs w:val="22"/>
                <w:lang w:val="en-GB"/>
              </w:rPr>
            </w:pPr>
            <w:r w:rsidRPr="009A6F08">
              <w:rPr>
                <w:rFonts w:cs="Arial"/>
                <w:sz w:val="22"/>
                <w:szCs w:val="22"/>
                <w:lang w:val="en-GB"/>
              </w:rPr>
              <w:t>Mediterranean</w:t>
            </w:r>
            <w:r w:rsidRPr="009A6F08">
              <w:rPr>
                <w:rFonts w:cs="Arial"/>
                <w:i/>
                <w:sz w:val="22"/>
                <w:szCs w:val="22"/>
                <w:vertAlign w:val="superscript"/>
                <w:lang w:val="en-GB"/>
              </w:rPr>
              <w:t>d</w:t>
            </w:r>
          </w:p>
        </w:tc>
        <w:tc>
          <w:tcPr>
            <w:tcW w:w="1256" w:type="dxa"/>
          </w:tcPr>
          <w:p w14:paraId="0A04A392"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51.6</w:t>
            </w:r>
          </w:p>
        </w:tc>
        <w:tc>
          <w:tcPr>
            <w:tcW w:w="1078" w:type="dxa"/>
          </w:tcPr>
          <w:p w14:paraId="6F03D0FB"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00752F30"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99.7</w:t>
            </w:r>
          </w:p>
        </w:tc>
        <w:tc>
          <w:tcPr>
            <w:tcW w:w="1217" w:type="dxa"/>
          </w:tcPr>
          <w:p w14:paraId="2A9FFD9C"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99.3</w:t>
            </w:r>
          </w:p>
        </w:tc>
      </w:tr>
      <w:tr w:rsidR="00AC6569" w:rsidRPr="009A6F08" w14:paraId="49200378"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2DF370CB" w14:textId="77777777" w:rsidR="00AC6569" w:rsidRPr="009A6F08" w:rsidRDefault="00AC6569" w:rsidP="00F721B7">
            <w:pPr>
              <w:ind w:firstLine="851"/>
              <w:rPr>
                <w:rFonts w:cs="Arial"/>
                <w:sz w:val="22"/>
                <w:szCs w:val="22"/>
                <w:lang w:val="en-GB"/>
              </w:rPr>
            </w:pPr>
            <w:r w:rsidRPr="009A6F08">
              <w:rPr>
                <w:rFonts w:cs="Arial"/>
                <w:sz w:val="22"/>
                <w:szCs w:val="22"/>
                <w:lang w:val="en-GB"/>
              </w:rPr>
              <w:t>South</w:t>
            </w:r>
            <w:r w:rsidRPr="009A6F08">
              <w:rPr>
                <w:rFonts w:cs="Arial"/>
                <w:i/>
                <w:sz w:val="22"/>
                <w:szCs w:val="22"/>
                <w:vertAlign w:val="superscript"/>
                <w:lang w:val="en-GB"/>
              </w:rPr>
              <w:t>e</w:t>
            </w:r>
          </w:p>
        </w:tc>
        <w:tc>
          <w:tcPr>
            <w:tcW w:w="1256" w:type="dxa"/>
          </w:tcPr>
          <w:p w14:paraId="6F3AEEC4"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53.6</w:t>
            </w:r>
          </w:p>
        </w:tc>
        <w:tc>
          <w:tcPr>
            <w:tcW w:w="1078" w:type="dxa"/>
          </w:tcPr>
          <w:p w14:paraId="42E6B8EF"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285179AC"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123.1</w:t>
            </w:r>
          </w:p>
        </w:tc>
        <w:tc>
          <w:tcPr>
            <w:tcW w:w="1217" w:type="dxa"/>
          </w:tcPr>
          <w:p w14:paraId="58B594F3"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117.5</w:t>
            </w:r>
          </w:p>
        </w:tc>
      </w:tr>
      <w:tr w:rsidR="00AC6569" w:rsidRPr="009A6F08" w14:paraId="2A67F9E1"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6C320096" w14:textId="77777777" w:rsidR="00AC6569" w:rsidRPr="009A6F08" w:rsidRDefault="00AC6569" w:rsidP="00F721B7">
            <w:pPr>
              <w:ind w:firstLine="284"/>
              <w:rPr>
                <w:rFonts w:cs="Arial"/>
                <w:sz w:val="22"/>
                <w:szCs w:val="22"/>
                <w:lang w:val="en-GB"/>
              </w:rPr>
            </w:pPr>
            <w:r w:rsidRPr="009A6F08">
              <w:rPr>
                <w:rFonts w:cs="Arial"/>
                <w:sz w:val="22"/>
                <w:szCs w:val="22"/>
                <w:lang w:val="en-GB"/>
              </w:rPr>
              <w:t>Cheese</w:t>
            </w:r>
          </w:p>
        </w:tc>
        <w:tc>
          <w:tcPr>
            <w:tcW w:w="1256" w:type="dxa"/>
          </w:tcPr>
          <w:p w14:paraId="554D6D35"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1.5</w:t>
            </w:r>
          </w:p>
        </w:tc>
        <w:tc>
          <w:tcPr>
            <w:tcW w:w="1078" w:type="dxa"/>
          </w:tcPr>
          <w:p w14:paraId="166367B1"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4.2</w:t>
            </w:r>
          </w:p>
        </w:tc>
        <w:tc>
          <w:tcPr>
            <w:tcW w:w="1256" w:type="dxa"/>
          </w:tcPr>
          <w:p w14:paraId="7E8DB82E"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4.3</w:t>
            </w:r>
          </w:p>
        </w:tc>
        <w:tc>
          <w:tcPr>
            <w:tcW w:w="1217" w:type="dxa"/>
          </w:tcPr>
          <w:p w14:paraId="1DDFB679"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5.7</w:t>
            </w:r>
          </w:p>
        </w:tc>
      </w:tr>
      <w:tr w:rsidR="00AC6569" w:rsidRPr="009A6F08" w14:paraId="0EB3DB93"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71E9EFDF" w14:textId="77777777" w:rsidR="00AC6569" w:rsidRPr="009A6F08" w:rsidRDefault="00AC6569" w:rsidP="00F721B7">
            <w:pPr>
              <w:ind w:firstLine="284"/>
              <w:rPr>
                <w:rFonts w:cs="Arial"/>
                <w:sz w:val="22"/>
                <w:szCs w:val="22"/>
                <w:lang w:val="en-GB"/>
              </w:rPr>
            </w:pPr>
            <w:r w:rsidRPr="009A6F08">
              <w:rPr>
                <w:rFonts w:cs="Arial"/>
                <w:sz w:val="22"/>
                <w:szCs w:val="22"/>
                <w:lang w:val="en-GB"/>
              </w:rPr>
              <w:t>Other dairy products</w:t>
            </w:r>
          </w:p>
        </w:tc>
        <w:tc>
          <w:tcPr>
            <w:tcW w:w="1256" w:type="dxa"/>
          </w:tcPr>
          <w:p w14:paraId="36A434A0"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3.3</w:t>
            </w:r>
          </w:p>
        </w:tc>
        <w:tc>
          <w:tcPr>
            <w:tcW w:w="1078" w:type="dxa"/>
          </w:tcPr>
          <w:p w14:paraId="5483A648"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598EEEEC"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9.8</w:t>
            </w:r>
          </w:p>
        </w:tc>
        <w:tc>
          <w:tcPr>
            <w:tcW w:w="1217" w:type="dxa"/>
          </w:tcPr>
          <w:p w14:paraId="5B70BA9C"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14.3</w:t>
            </w:r>
          </w:p>
        </w:tc>
      </w:tr>
      <w:tr w:rsidR="00AC6569" w:rsidRPr="009A6F08" w14:paraId="78E65015"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24FB5545" w14:textId="77777777" w:rsidR="00AC6569" w:rsidRPr="009A6F08" w:rsidRDefault="00AC6569" w:rsidP="00F721B7">
            <w:pPr>
              <w:ind w:firstLine="284"/>
              <w:rPr>
                <w:rFonts w:cs="Arial"/>
                <w:sz w:val="22"/>
                <w:szCs w:val="22"/>
                <w:lang w:val="en-GB"/>
              </w:rPr>
            </w:pPr>
            <w:r w:rsidRPr="009A6F08">
              <w:rPr>
                <w:rFonts w:cs="Arial"/>
                <w:sz w:val="22"/>
                <w:szCs w:val="22"/>
                <w:lang w:val="en-GB"/>
              </w:rPr>
              <w:t>Total</w:t>
            </w:r>
          </w:p>
        </w:tc>
        <w:tc>
          <w:tcPr>
            <w:tcW w:w="1256" w:type="dxa"/>
          </w:tcPr>
          <w:p w14:paraId="5902FAC0"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85.9</w:t>
            </w:r>
          </w:p>
        </w:tc>
        <w:tc>
          <w:tcPr>
            <w:tcW w:w="1078" w:type="dxa"/>
          </w:tcPr>
          <w:p w14:paraId="625A8AEA"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469013D1"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143.0</w:t>
            </w:r>
          </w:p>
        </w:tc>
        <w:tc>
          <w:tcPr>
            <w:tcW w:w="1217" w:type="dxa"/>
          </w:tcPr>
          <w:p w14:paraId="2055067B"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150.7</w:t>
            </w:r>
          </w:p>
        </w:tc>
      </w:tr>
      <w:tr w:rsidR="00AC6569" w:rsidRPr="009A6F08" w14:paraId="784B4376"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369B26B2" w14:textId="77777777" w:rsidR="00AC6569" w:rsidRPr="009A6F08" w:rsidRDefault="00AC6569" w:rsidP="00F721B7">
            <w:pPr>
              <w:rPr>
                <w:rFonts w:cs="Arial"/>
                <w:sz w:val="22"/>
                <w:szCs w:val="22"/>
                <w:lang w:val="en-GB"/>
              </w:rPr>
            </w:pPr>
            <w:r w:rsidRPr="009A6F08">
              <w:rPr>
                <w:rFonts w:cs="Arial"/>
                <w:sz w:val="22"/>
                <w:szCs w:val="22"/>
                <w:lang w:val="en-GB"/>
              </w:rPr>
              <w:t>Calorie shares (%)</w:t>
            </w:r>
          </w:p>
        </w:tc>
        <w:tc>
          <w:tcPr>
            <w:tcW w:w="1256" w:type="dxa"/>
          </w:tcPr>
          <w:p w14:paraId="7928583F"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078" w:type="dxa"/>
          </w:tcPr>
          <w:p w14:paraId="1BCE6412"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57E1D1B1"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17" w:type="dxa"/>
          </w:tcPr>
          <w:p w14:paraId="0D365443" w14:textId="77777777" w:rsidR="00AC6569" w:rsidRPr="009A6F08" w:rsidRDefault="00AC6569"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AC6569" w:rsidRPr="009A6F08" w14:paraId="68C2918D"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7A67FDC0" w14:textId="77777777" w:rsidR="00AC6569" w:rsidRPr="009A6F08" w:rsidRDefault="00AC6569" w:rsidP="00F721B7">
            <w:pPr>
              <w:ind w:firstLine="284"/>
              <w:rPr>
                <w:rFonts w:cs="Arial"/>
                <w:sz w:val="22"/>
                <w:szCs w:val="22"/>
                <w:lang w:val="en-GB"/>
              </w:rPr>
            </w:pPr>
            <w:r w:rsidRPr="009A6F08">
              <w:rPr>
                <w:rFonts w:cs="Arial"/>
                <w:sz w:val="22"/>
                <w:szCs w:val="22"/>
                <w:lang w:val="en-GB"/>
              </w:rPr>
              <w:t>Raw milk</w:t>
            </w:r>
          </w:p>
        </w:tc>
        <w:tc>
          <w:tcPr>
            <w:tcW w:w="1256" w:type="dxa"/>
          </w:tcPr>
          <w:p w14:paraId="027EA092" w14:textId="77777777" w:rsidR="00AC6569" w:rsidRPr="009A6F08" w:rsidRDefault="00AC6569" w:rsidP="00F721B7">
            <w:pPr>
              <w:ind w:left="-805" w:right="425"/>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75</w:t>
            </w:r>
          </w:p>
        </w:tc>
        <w:tc>
          <w:tcPr>
            <w:tcW w:w="1078" w:type="dxa"/>
          </w:tcPr>
          <w:p w14:paraId="4EE2B138" w14:textId="77777777" w:rsidR="00AC6569" w:rsidRPr="009A6F08" w:rsidRDefault="00AC6569" w:rsidP="00F721B7">
            <w:pPr>
              <w:ind w:left="-408" w:right="388"/>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69B58351" w14:textId="77777777" w:rsidR="00AC6569" w:rsidRPr="009A6F08" w:rsidRDefault="00AC6569" w:rsidP="00F721B7">
            <w:pPr>
              <w:ind w:left="-408" w:right="388"/>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29</w:t>
            </w:r>
          </w:p>
        </w:tc>
        <w:tc>
          <w:tcPr>
            <w:tcW w:w="1217" w:type="dxa"/>
          </w:tcPr>
          <w:p w14:paraId="737BA053" w14:textId="77777777" w:rsidR="00AC6569" w:rsidRPr="009A6F08" w:rsidRDefault="00AC6569" w:rsidP="00F721B7">
            <w:pPr>
              <w:ind w:left="-408" w:right="388"/>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14</w:t>
            </w:r>
          </w:p>
        </w:tc>
      </w:tr>
      <w:tr w:rsidR="00AC6569" w:rsidRPr="009A6F08" w14:paraId="79165682"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0B56C2BD" w14:textId="77777777" w:rsidR="00AC6569" w:rsidRPr="009A6F08" w:rsidRDefault="00AC6569" w:rsidP="00F721B7">
            <w:pPr>
              <w:ind w:firstLine="284"/>
              <w:rPr>
                <w:rFonts w:cs="Arial"/>
                <w:sz w:val="22"/>
                <w:szCs w:val="22"/>
                <w:lang w:val="en-GB"/>
              </w:rPr>
            </w:pPr>
            <w:r w:rsidRPr="009A6F08">
              <w:rPr>
                <w:rFonts w:cs="Arial"/>
                <w:sz w:val="22"/>
                <w:szCs w:val="22"/>
                <w:lang w:val="en-GB"/>
              </w:rPr>
              <w:t>Processed milk</w:t>
            </w:r>
            <w:r w:rsidRPr="009A6F08">
              <w:rPr>
                <w:rFonts w:cs="Arial"/>
                <w:i/>
                <w:sz w:val="22"/>
                <w:szCs w:val="22"/>
                <w:vertAlign w:val="superscript"/>
                <w:lang w:val="en-GB"/>
              </w:rPr>
              <w:t>f</w:t>
            </w:r>
          </w:p>
        </w:tc>
        <w:tc>
          <w:tcPr>
            <w:tcW w:w="1256" w:type="dxa"/>
          </w:tcPr>
          <w:p w14:paraId="1A799172" w14:textId="77777777" w:rsidR="00AC6569" w:rsidRPr="009A6F08" w:rsidRDefault="00AC6569" w:rsidP="00F721B7">
            <w:pPr>
              <w:ind w:left="-805" w:right="425" w:firstLine="166"/>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13</w:t>
            </w:r>
          </w:p>
        </w:tc>
        <w:tc>
          <w:tcPr>
            <w:tcW w:w="1078" w:type="dxa"/>
          </w:tcPr>
          <w:p w14:paraId="44CD9283" w14:textId="77777777" w:rsidR="00AC6569" w:rsidRPr="009A6F08" w:rsidRDefault="00AC6569" w:rsidP="00F721B7">
            <w:pPr>
              <w:ind w:left="-408" w:right="388"/>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1D7A8C1A" w14:textId="77777777" w:rsidR="00AC6569" w:rsidRPr="009A6F08" w:rsidRDefault="00AC6569" w:rsidP="00F721B7">
            <w:pPr>
              <w:ind w:left="-408" w:right="388"/>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53</w:t>
            </w:r>
          </w:p>
        </w:tc>
        <w:tc>
          <w:tcPr>
            <w:tcW w:w="1217" w:type="dxa"/>
          </w:tcPr>
          <w:p w14:paraId="015D7320" w14:textId="77777777" w:rsidR="00AC6569" w:rsidRPr="009A6F08" w:rsidRDefault="00AC6569" w:rsidP="00F721B7">
            <w:pPr>
              <w:ind w:left="-408" w:right="388"/>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58</w:t>
            </w:r>
          </w:p>
        </w:tc>
      </w:tr>
      <w:tr w:rsidR="00AC6569" w:rsidRPr="009A6F08" w14:paraId="66297C74"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6901A8CB" w14:textId="77777777" w:rsidR="00AC6569" w:rsidRPr="009A6F08" w:rsidRDefault="00AC6569" w:rsidP="00F721B7">
            <w:pPr>
              <w:ind w:firstLine="284"/>
              <w:rPr>
                <w:rFonts w:cs="Arial"/>
                <w:sz w:val="22"/>
                <w:szCs w:val="22"/>
                <w:lang w:val="en-GB"/>
              </w:rPr>
            </w:pPr>
            <w:r w:rsidRPr="009A6F08">
              <w:rPr>
                <w:rFonts w:cs="Arial"/>
                <w:sz w:val="22"/>
                <w:szCs w:val="22"/>
                <w:lang w:val="en-GB"/>
              </w:rPr>
              <w:t>Other dairy products</w:t>
            </w:r>
          </w:p>
        </w:tc>
        <w:tc>
          <w:tcPr>
            <w:tcW w:w="1256" w:type="dxa"/>
          </w:tcPr>
          <w:p w14:paraId="7FB56AF4" w14:textId="77777777" w:rsidR="00AC6569" w:rsidRPr="009A6F08" w:rsidRDefault="00AC6569" w:rsidP="00F721B7">
            <w:pPr>
              <w:ind w:left="-805" w:right="425"/>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w:t>
            </w:r>
          </w:p>
        </w:tc>
        <w:tc>
          <w:tcPr>
            <w:tcW w:w="1078" w:type="dxa"/>
          </w:tcPr>
          <w:p w14:paraId="6DD51277" w14:textId="77777777" w:rsidR="00AC6569" w:rsidRPr="009A6F08" w:rsidRDefault="00AC6569" w:rsidP="00F721B7">
            <w:pPr>
              <w:ind w:left="-408" w:right="388"/>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256" w:type="dxa"/>
          </w:tcPr>
          <w:p w14:paraId="22325AF0" w14:textId="77777777" w:rsidR="00AC6569" w:rsidRPr="009A6F08" w:rsidRDefault="00AC6569" w:rsidP="00F721B7">
            <w:pPr>
              <w:ind w:left="-408" w:right="388"/>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18</w:t>
            </w:r>
          </w:p>
        </w:tc>
        <w:tc>
          <w:tcPr>
            <w:tcW w:w="1217" w:type="dxa"/>
          </w:tcPr>
          <w:p w14:paraId="00D77ED6" w14:textId="77777777" w:rsidR="00AC6569" w:rsidRPr="009A6F08" w:rsidRDefault="00AC6569" w:rsidP="00F721B7">
            <w:pPr>
              <w:ind w:left="-408" w:right="388"/>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28</w:t>
            </w:r>
          </w:p>
        </w:tc>
      </w:tr>
      <w:tr w:rsidR="00AC6569" w:rsidRPr="009A6F08" w14:paraId="1A3FF9BF"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913" w:type="dxa"/>
          </w:tcPr>
          <w:p w14:paraId="60986E7E" w14:textId="77777777" w:rsidR="00AC6569" w:rsidRPr="009A6F08" w:rsidRDefault="00AC6569" w:rsidP="00F721B7">
            <w:pPr>
              <w:rPr>
                <w:rFonts w:cs="Arial"/>
                <w:color w:val="000000"/>
                <w:sz w:val="22"/>
                <w:szCs w:val="22"/>
              </w:rPr>
            </w:pPr>
          </w:p>
        </w:tc>
        <w:tc>
          <w:tcPr>
            <w:tcW w:w="1256" w:type="dxa"/>
          </w:tcPr>
          <w:p w14:paraId="52D3C2D8" w14:textId="77777777" w:rsidR="00AC6569" w:rsidRPr="009A6F08" w:rsidRDefault="00AC6569" w:rsidP="00F721B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078" w:type="dxa"/>
          </w:tcPr>
          <w:p w14:paraId="20E6C7F7" w14:textId="77777777" w:rsidR="00AC6569" w:rsidRPr="009A6F08" w:rsidRDefault="00AC6569" w:rsidP="00F721B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256" w:type="dxa"/>
          </w:tcPr>
          <w:p w14:paraId="50920CFF" w14:textId="77777777" w:rsidR="00AC6569" w:rsidRPr="009A6F08" w:rsidRDefault="00AC6569" w:rsidP="00F721B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217" w:type="dxa"/>
          </w:tcPr>
          <w:p w14:paraId="0E096A4E" w14:textId="77777777" w:rsidR="00AC6569" w:rsidRPr="009A6F08" w:rsidRDefault="00AC6569" w:rsidP="00F721B7">
            <w:pPr>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r>
    </w:tbl>
    <w:p w14:paraId="235CCBD6" w14:textId="77777777" w:rsidR="00AC6569" w:rsidRPr="009A6F08" w:rsidRDefault="00AC6569" w:rsidP="00AC6569">
      <w:pPr>
        <w:spacing w:line="240" w:lineRule="auto"/>
        <w:rPr>
          <w:rFonts w:cs="Arial"/>
          <w:i/>
          <w:sz w:val="20"/>
          <w:szCs w:val="22"/>
          <w:lang w:val="en-GB"/>
        </w:rPr>
      </w:pPr>
    </w:p>
    <w:p w14:paraId="6A39A07D" w14:textId="77777777" w:rsidR="00843880" w:rsidRPr="009A6F08" w:rsidRDefault="00843880" w:rsidP="00512F98">
      <w:pPr>
        <w:spacing w:line="240" w:lineRule="auto"/>
        <w:rPr>
          <w:rFonts w:cs="Arial"/>
          <w:sz w:val="20"/>
          <w:szCs w:val="20"/>
          <w:lang w:val="en-US"/>
        </w:rPr>
      </w:pPr>
    </w:p>
    <w:p w14:paraId="54E9FBAE" w14:textId="77777777" w:rsidR="00AC6569" w:rsidRPr="009A6F08" w:rsidRDefault="00AC6569" w:rsidP="00512F98">
      <w:pPr>
        <w:spacing w:line="240" w:lineRule="auto"/>
        <w:rPr>
          <w:rFonts w:cs="Arial"/>
          <w:sz w:val="20"/>
          <w:szCs w:val="20"/>
          <w:lang w:val="en-US"/>
        </w:rPr>
      </w:pPr>
    </w:p>
    <w:p w14:paraId="05B9DCD0" w14:textId="77777777" w:rsidR="00BD7193" w:rsidRDefault="00BD7193">
      <w:pPr>
        <w:rPr>
          <w:rFonts w:cs="Arial"/>
          <w:b/>
          <w:sz w:val="22"/>
          <w:szCs w:val="22"/>
          <w:lang w:val="en-GB"/>
        </w:rPr>
      </w:pPr>
      <w:r>
        <w:rPr>
          <w:rFonts w:cs="Arial"/>
          <w:b/>
          <w:sz w:val="22"/>
          <w:szCs w:val="22"/>
          <w:lang w:val="en-GB"/>
        </w:rPr>
        <w:br w:type="page"/>
      </w:r>
    </w:p>
    <w:p w14:paraId="38F0E26A" w14:textId="79D1EE8F" w:rsidR="00D0013D" w:rsidRPr="009A6F08" w:rsidRDefault="00D0013D" w:rsidP="00D0013D">
      <w:pPr>
        <w:spacing w:line="240" w:lineRule="auto"/>
        <w:rPr>
          <w:rFonts w:cs="Arial"/>
          <w:i/>
          <w:sz w:val="22"/>
          <w:szCs w:val="22"/>
          <w:lang w:val="en-GB"/>
        </w:rPr>
      </w:pPr>
      <w:r w:rsidRPr="009A6F08">
        <w:rPr>
          <w:rFonts w:cs="Arial"/>
          <w:b/>
          <w:sz w:val="22"/>
          <w:szCs w:val="22"/>
          <w:lang w:val="en-GB"/>
        </w:rPr>
        <w:lastRenderedPageBreak/>
        <w:t xml:space="preserve">Table 2. </w:t>
      </w:r>
      <w:r w:rsidRPr="009A6F08">
        <w:rPr>
          <w:rFonts w:cs="Arial"/>
          <w:i/>
          <w:sz w:val="22"/>
          <w:szCs w:val="22"/>
          <w:lang w:val="en-GB"/>
        </w:rPr>
        <w:t>Household budget constraints for dairy consumption</w:t>
      </w:r>
    </w:p>
    <w:p w14:paraId="0C2ADDEB" w14:textId="77777777" w:rsidR="00D0013D" w:rsidRPr="009A6F08" w:rsidRDefault="00D0013D" w:rsidP="00D0013D">
      <w:pPr>
        <w:spacing w:line="240" w:lineRule="auto"/>
        <w:ind w:left="1410" w:hanging="1410"/>
        <w:rPr>
          <w:rFonts w:cs="Arial"/>
          <w:b/>
          <w:sz w:val="22"/>
          <w:szCs w:val="22"/>
          <w:lang w:val="en-US"/>
        </w:rPr>
      </w:pPr>
    </w:p>
    <w:tbl>
      <w:tblPr>
        <w:tblStyle w:val="CJE"/>
        <w:tblW w:w="8505" w:type="dxa"/>
        <w:tblLook w:val="04A0" w:firstRow="1" w:lastRow="0" w:firstColumn="1" w:lastColumn="0" w:noHBand="0" w:noVBand="1"/>
      </w:tblPr>
      <w:tblGrid>
        <w:gridCol w:w="3785"/>
        <w:gridCol w:w="1191"/>
        <w:gridCol w:w="1191"/>
        <w:gridCol w:w="1169"/>
        <w:gridCol w:w="1169"/>
      </w:tblGrid>
      <w:tr w:rsidR="00D0013D" w:rsidRPr="009A6F08" w14:paraId="46B51339" w14:textId="77777777" w:rsidTr="00F72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5" w:type="dxa"/>
          </w:tcPr>
          <w:p w14:paraId="63904467" w14:textId="77777777" w:rsidR="00D0013D" w:rsidRPr="009A6F08" w:rsidRDefault="00D0013D" w:rsidP="00F721B7">
            <w:pPr>
              <w:jc w:val="left"/>
              <w:rPr>
                <w:rFonts w:cs="Arial"/>
                <w:sz w:val="22"/>
                <w:szCs w:val="22"/>
                <w:lang w:val="en-GB"/>
              </w:rPr>
            </w:pPr>
          </w:p>
        </w:tc>
        <w:tc>
          <w:tcPr>
            <w:tcW w:w="1191" w:type="dxa"/>
          </w:tcPr>
          <w:p w14:paraId="309D20ED" w14:textId="77777777" w:rsidR="00D0013D" w:rsidRPr="009A6F08" w:rsidRDefault="00D0013D"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1964/5</w:t>
            </w:r>
          </w:p>
        </w:tc>
        <w:tc>
          <w:tcPr>
            <w:tcW w:w="1191" w:type="dxa"/>
          </w:tcPr>
          <w:p w14:paraId="1704E118" w14:textId="77777777" w:rsidR="00D0013D" w:rsidRPr="009A6F08" w:rsidRDefault="00D0013D"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1973/4</w:t>
            </w:r>
          </w:p>
        </w:tc>
        <w:tc>
          <w:tcPr>
            <w:tcW w:w="1169" w:type="dxa"/>
          </w:tcPr>
          <w:p w14:paraId="313C03A7" w14:textId="77777777" w:rsidR="00D0013D" w:rsidRPr="009A6F08" w:rsidRDefault="00D0013D"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1980/1</w:t>
            </w:r>
          </w:p>
        </w:tc>
        <w:tc>
          <w:tcPr>
            <w:tcW w:w="1169" w:type="dxa"/>
          </w:tcPr>
          <w:p w14:paraId="6664DE67" w14:textId="77777777" w:rsidR="00D0013D" w:rsidRPr="009A6F08" w:rsidRDefault="00D0013D"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1990/1</w:t>
            </w:r>
          </w:p>
        </w:tc>
      </w:tr>
      <w:tr w:rsidR="00D0013D" w:rsidRPr="009A6F08" w14:paraId="42164FD5"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2BAF4A93" w14:textId="77777777" w:rsidR="00D0013D" w:rsidRPr="009A6F08" w:rsidRDefault="00D0013D" w:rsidP="00F721B7">
            <w:pPr>
              <w:rPr>
                <w:rFonts w:cs="Arial"/>
                <w:sz w:val="22"/>
                <w:szCs w:val="22"/>
                <w:lang w:val="en-GB"/>
              </w:rPr>
            </w:pPr>
          </w:p>
        </w:tc>
        <w:tc>
          <w:tcPr>
            <w:tcW w:w="1191" w:type="dxa"/>
          </w:tcPr>
          <w:p w14:paraId="7ECCAD35" w14:textId="77777777" w:rsidR="00D0013D" w:rsidRPr="009A6F08" w:rsidRDefault="00D0013D"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91" w:type="dxa"/>
          </w:tcPr>
          <w:p w14:paraId="0D1DD938" w14:textId="77777777" w:rsidR="00D0013D" w:rsidRPr="009A6F08" w:rsidRDefault="00D0013D"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4D2302B3" w14:textId="77777777" w:rsidR="00D0013D" w:rsidRPr="009A6F08" w:rsidRDefault="00D0013D"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532B6032" w14:textId="77777777" w:rsidR="00D0013D" w:rsidRPr="009A6F08" w:rsidRDefault="00D0013D"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D0013D" w:rsidRPr="009A6F08" w14:paraId="69D5CBE3" w14:textId="77777777" w:rsidTr="00F721B7">
        <w:tc>
          <w:tcPr>
            <w:cnfStyle w:val="001000000000" w:firstRow="0" w:lastRow="0" w:firstColumn="1" w:lastColumn="0" w:oddVBand="0" w:evenVBand="0" w:oddHBand="0" w:evenHBand="0" w:firstRowFirstColumn="0" w:firstRowLastColumn="0" w:lastRowFirstColumn="0" w:lastRowLastColumn="0"/>
            <w:tcW w:w="8505" w:type="dxa"/>
            <w:gridSpan w:val="5"/>
          </w:tcPr>
          <w:p w14:paraId="6D0166E8" w14:textId="77777777" w:rsidR="00D0013D" w:rsidRPr="009A6F08" w:rsidRDefault="00D0013D" w:rsidP="00F721B7">
            <w:pPr>
              <w:ind w:right="284"/>
              <w:rPr>
                <w:rFonts w:cs="Arial"/>
                <w:sz w:val="22"/>
                <w:szCs w:val="22"/>
                <w:lang w:val="en-GB"/>
              </w:rPr>
            </w:pPr>
            <w:r w:rsidRPr="009A6F08">
              <w:rPr>
                <w:rFonts w:cs="Arial"/>
                <w:sz w:val="22"/>
                <w:szCs w:val="22"/>
                <w:lang w:val="en-GB"/>
              </w:rPr>
              <w:t>Share of household income hypothetically required to buy (…) per capita (%)</w:t>
            </w:r>
          </w:p>
        </w:tc>
      </w:tr>
      <w:tr w:rsidR="00D0013D" w:rsidRPr="009A6F08" w14:paraId="60698BBE"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49FBBC2D" w14:textId="77777777" w:rsidR="00D0013D" w:rsidRPr="009A6F08" w:rsidRDefault="00D0013D" w:rsidP="00F721B7">
            <w:pPr>
              <w:ind w:left="460"/>
              <w:rPr>
                <w:rFonts w:cs="Arial"/>
                <w:sz w:val="22"/>
                <w:szCs w:val="22"/>
                <w:lang w:val="en-GB"/>
              </w:rPr>
            </w:pPr>
            <w:r w:rsidRPr="009A6F08">
              <w:rPr>
                <w:rFonts w:cs="Arial"/>
                <w:i/>
                <w:sz w:val="22"/>
                <w:szCs w:val="22"/>
                <w:lang w:val="en-GB"/>
              </w:rPr>
              <w:t xml:space="preserve">(A) </w:t>
            </w:r>
            <w:r w:rsidRPr="009A6F08">
              <w:rPr>
                <w:rFonts w:cs="Arial"/>
                <w:sz w:val="22"/>
                <w:szCs w:val="22"/>
                <w:lang w:val="en-GB"/>
              </w:rPr>
              <w:t>100 kg. of liquid milk</w:t>
            </w:r>
          </w:p>
        </w:tc>
        <w:tc>
          <w:tcPr>
            <w:tcW w:w="1191" w:type="dxa"/>
          </w:tcPr>
          <w:p w14:paraId="596ED5B9"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4.4</w:t>
            </w:r>
          </w:p>
        </w:tc>
        <w:tc>
          <w:tcPr>
            <w:tcW w:w="1191" w:type="dxa"/>
          </w:tcPr>
          <w:p w14:paraId="0C0A1013"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2.7</w:t>
            </w:r>
          </w:p>
        </w:tc>
        <w:tc>
          <w:tcPr>
            <w:tcW w:w="1169" w:type="dxa"/>
          </w:tcPr>
          <w:p w14:paraId="791751A9"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1.9</w:t>
            </w:r>
          </w:p>
        </w:tc>
        <w:tc>
          <w:tcPr>
            <w:tcW w:w="1169" w:type="dxa"/>
          </w:tcPr>
          <w:p w14:paraId="0EA4B968"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1.3</w:t>
            </w:r>
          </w:p>
        </w:tc>
      </w:tr>
      <w:tr w:rsidR="00D0013D" w:rsidRPr="009A6F08" w14:paraId="0797187F"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4C22E45F" w14:textId="77777777" w:rsidR="00D0013D" w:rsidRPr="009A6F08" w:rsidRDefault="00D0013D" w:rsidP="00F721B7">
            <w:pPr>
              <w:ind w:left="886"/>
              <w:rPr>
                <w:rFonts w:cs="Arial"/>
                <w:sz w:val="22"/>
                <w:szCs w:val="22"/>
                <w:lang w:val="en-GB"/>
              </w:rPr>
            </w:pPr>
            <w:r w:rsidRPr="009A6F08">
              <w:rPr>
                <w:rFonts w:cs="Arial"/>
                <w:sz w:val="22"/>
                <w:szCs w:val="22"/>
                <w:lang w:val="en-GB"/>
              </w:rPr>
              <w:t>Broken down by income level</w:t>
            </w:r>
          </w:p>
        </w:tc>
        <w:tc>
          <w:tcPr>
            <w:tcW w:w="1191" w:type="dxa"/>
          </w:tcPr>
          <w:p w14:paraId="719FDD03"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91" w:type="dxa"/>
          </w:tcPr>
          <w:p w14:paraId="1CEEA764"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0A985F01"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12815B45"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D0013D" w:rsidRPr="009A6F08" w14:paraId="7C6CD486"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4A937CFA" w14:textId="77777777" w:rsidR="00D0013D" w:rsidRPr="009A6F08" w:rsidRDefault="00D0013D" w:rsidP="00F721B7">
            <w:pPr>
              <w:ind w:left="1169"/>
              <w:rPr>
                <w:rFonts w:cs="Arial"/>
                <w:sz w:val="22"/>
                <w:szCs w:val="22"/>
                <w:lang w:val="en-GB"/>
              </w:rPr>
            </w:pPr>
            <w:r w:rsidRPr="009A6F08">
              <w:rPr>
                <w:rFonts w:cs="Arial"/>
                <w:sz w:val="22"/>
                <w:szCs w:val="22"/>
                <w:lang w:val="en-GB"/>
              </w:rPr>
              <w:t>First quartile</w:t>
            </w:r>
          </w:p>
        </w:tc>
        <w:tc>
          <w:tcPr>
            <w:tcW w:w="1191" w:type="dxa"/>
          </w:tcPr>
          <w:p w14:paraId="172E6F8B"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11.8</w:t>
            </w:r>
          </w:p>
        </w:tc>
        <w:tc>
          <w:tcPr>
            <w:tcW w:w="1191" w:type="dxa"/>
          </w:tcPr>
          <w:p w14:paraId="6B79F079"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400B4F03"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3.4</w:t>
            </w:r>
          </w:p>
        </w:tc>
        <w:tc>
          <w:tcPr>
            <w:tcW w:w="1169" w:type="dxa"/>
          </w:tcPr>
          <w:p w14:paraId="0CE30614"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2.8</w:t>
            </w:r>
          </w:p>
        </w:tc>
      </w:tr>
      <w:tr w:rsidR="00D0013D" w:rsidRPr="009A6F08" w14:paraId="1F7C2933"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76221FC6" w14:textId="77777777" w:rsidR="00D0013D" w:rsidRPr="009A6F08" w:rsidRDefault="00D0013D" w:rsidP="00F721B7">
            <w:pPr>
              <w:ind w:left="1169"/>
              <w:rPr>
                <w:rFonts w:cs="Arial"/>
                <w:sz w:val="22"/>
                <w:szCs w:val="22"/>
                <w:lang w:val="en-GB"/>
              </w:rPr>
            </w:pPr>
            <w:r w:rsidRPr="009A6F08">
              <w:rPr>
                <w:rFonts w:cs="Arial"/>
                <w:sz w:val="22"/>
                <w:szCs w:val="22"/>
                <w:lang w:val="en-GB"/>
              </w:rPr>
              <w:t>Second quartile</w:t>
            </w:r>
          </w:p>
        </w:tc>
        <w:tc>
          <w:tcPr>
            <w:tcW w:w="1191" w:type="dxa"/>
          </w:tcPr>
          <w:p w14:paraId="1629DBF4"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6.0</w:t>
            </w:r>
          </w:p>
        </w:tc>
        <w:tc>
          <w:tcPr>
            <w:tcW w:w="1191" w:type="dxa"/>
          </w:tcPr>
          <w:p w14:paraId="5EE7DE34"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0044646F"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2.6</w:t>
            </w:r>
          </w:p>
        </w:tc>
        <w:tc>
          <w:tcPr>
            <w:tcW w:w="1169" w:type="dxa"/>
          </w:tcPr>
          <w:p w14:paraId="5ACDAD3F"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1.7</w:t>
            </w:r>
          </w:p>
        </w:tc>
      </w:tr>
      <w:tr w:rsidR="00D0013D" w:rsidRPr="009A6F08" w14:paraId="3E17A905"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79454D2F" w14:textId="77777777" w:rsidR="00D0013D" w:rsidRPr="009A6F08" w:rsidRDefault="00D0013D" w:rsidP="00F721B7">
            <w:pPr>
              <w:ind w:left="1169"/>
              <w:rPr>
                <w:rFonts w:cs="Arial"/>
                <w:sz w:val="22"/>
                <w:szCs w:val="22"/>
                <w:lang w:val="en-GB"/>
              </w:rPr>
            </w:pPr>
            <w:r w:rsidRPr="009A6F08">
              <w:rPr>
                <w:rFonts w:cs="Arial"/>
                <w:sz w:val="22"/>
                <w:szCs w:val="22"/>
                <w:lang w:val="en-GB"/>
              </w:rPr>
              <w:t>Third quartile</w:t>
            </w:r>
          </w:p>
        </w:tc>
        <w:tc>
          <w:tcPr>
            <w:tcW w:w="1191" w:type="dxa"/>
          </w:tcPr>
          <w:p w14:paraId="72AF0519"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3.9</w:t>
            </w:r>
          </w:p>
        </w:tc>
        <w:tc>
          <w:tcPr>
            <w:tcW w:w="1191" w:type="dxa"/>
          </w:tcPr>
          <w:p w14:paraId="3F638831"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686CA03B"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2.0</w:t>
            </w:r>
          </w:p>
        </w:tc>
        <w:tc>
          <w:tcPr>
            <w:tcW w:w="1169" w:type="dxa"/>
          </w:tcPr>
          <w:p w14:paraId="2A4BEEDF"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w:t>
            </w:r>
          </w:p>
        </w:tc>
      </w:tr>
      <w:tr w:rsidR="00D0013D" w:rsidRPr="009A6F08" w14:paraId="61ECC2C6"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2CBBEDA6" w14:textId="77777777" w:rsidR="00D0013D" w:rsidRPr="009A6F08" w:rsidRDefault="00D0013D" w:rsidP="00F721B7">
            <w:pPr>
              <w:ind w:left="1169"/>
              <w:rPr>
                <w:rFonts w:cs="Arial"/>
                <w:sz w:val="22"/>
                <w:szCs w:val="22"/>
                <w:lang w:val="en-GB"/>
              </w:rPr>
            </w:pPr>
            <w:r w:rsidRPr="009A6F08">
              <w:rPr>
                <w:rFonts w:cs="Arial"/>
                <w:sz w:val="22"/>
                <w:szCs w:val="22"/>
                <w:lang w:val="en-GB"/>
              </w:rPr>
              <w:t>Fourth quartile</w:t>
            </w:r>
          </w:p>
        </w:tc>
        <w:tc>
          <w:tcPr>
            <w:tcW w:w="1191" w:type="dxa"/>
          </w:tcPr>
          <w:p w14:paraId="4098C20F"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2.2</w:t>
            </w:r>
          </w:p>
        </w:tc>
        <w:tc>
          <w:tcPr>
            <w:tcW w:w="1191" w:type="dxa"/>
          </w:tcPr>
          <w:p w14:paraId="3F59A19A"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6C9956DA"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w:t>
            </w:r>
          </w:p>
        </w:tc>
        <w:tc>
          <w:tcPr>
            <w:tcW w:w="1169" w:type="dxa"/>
          </w:tcPr>
          <w:p w14:paraId="51A5D517"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0.7</w:t>
            </w:r>
          </w:p>
        </w:tc>
      </w:tr>
      <w:tr w:rsidR="00D0013D" w:rsidRPr="009A6F08" w14:paraId="52FD9E7B"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52F90397" w14:textId="77777777" w:rsidR="00D0013D" w:rsidRPr="009A6F08" w:rsidRDefault="00D0013D" w:rsidP="00F721B7">
            <w:pPr>
              <w:ind w:left="886"/>
              <w:rPr>
                <w:rFonts w:cs="Arial"/>
                <w:sz w:val="22"/>
                <w:szCs w:val="22"/>
                <w:lang w:val="en-GB"/>
              </w:rPr>
            </w:pPr>
            <w:r w:rsidRPr="009A6F08">
              <w:rPr>
                <w:rFonts w:cs="Arial"/>
                <w:sz w:val="22"/>
                <w:szCs w:val="22"/>
                <w:lang w:val="en-GB"/>
              </w:rPr>
              <w:t>Broken down by regions</w:t>
            </w:r>
          </w:p>
        </w:tc>
        <w:tc>
          <w:tcPr>
            <w:tcW w:w="1191" w:type="dxa"/>
          </w:tcPr>
          <w:p w14:paraId="360B93A5"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91" w:type="dxa"/>
          </w:tcPr>
          <w:p w14:paraId="752BE7F8"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306F1CCA"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31B0496D"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D0013D" w:rsidRPr="009A6F08" w14:paraId="08A4B9EE"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66B5C440" w14:textId="77777777" w:rsidR="00D0013D" w:rsidRPr="009A6F08" w:rsidRDefault="00D0013D" w:rsidP="00F721B7">
            <w:pPr>
              <w:ind w:left="1169"/>
              <w:rPr>
                <w:rFonts w:cs="Arial"/>
                <w:sz w:val="22"/>
                <w:szCs w:val="22"/>
                <w:lang w:val="en-GB"/>
              </w:rPr>
            </w:pPr>
            <w:r w:rsidRPr="009A6F08">
              <w:rPr>
                <w:rFonts w:cs="Arial"/>
                <w:sz w:val="22"/>
                <w:szCs w:val="22"/>
                <w:lang w:val="en-GB"/>
              </w:rPr>
              <w:t>North</w:t>
            </w:r>
          </w:p>
        </w:tc>
        <w:tc>
          <w:tcPr>
            <w:tcW w:w="1191" w:type="dxa"/>
          </w:tcPr>
          <w:p w14:paraId="6636B6D8"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2.9</w:t>
            </w:r>
          </w:p>
        </w:tc>
        <w:tc>
          <w:tcPr>
            <w:tcW w:w="1191" w:type="dxa"/>
          </w:tcPr>
          <w:p w14:paraId="5C117660"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24F72F06"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1.6</w:t>
            </w:r>
          </w:p>
        </w:tc>
        <w:tc>
          <w:tcPr>
            <w:tcW w:w="1169" w:type="dxa"/>
          </w:tcPr>
          <w:p w14:paraId="39D3AD1B"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w:t>
            </w:r>
          </w:p>
        </w:tc>
      </w:tr>
      <w:tr w:rsidR="00D0013D" w:rsidRPr="009A6F08" w14:paraId="68F33CB9"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327DA020" w14:textId="77777777" w:rsidR="00D0013D" w:rsidRPr="009A6F08" w:rsidRDefault="00D0013D" w:rsidP="00F721B7">
            <w:pPr>
              <w:ind w:left="1169"/>
              <w:rPr>
                <w:rFonts w:cs="Arial"/>
                <w:sz w:val="22"/>
                <w:szCs w:val="22"/>
                <w:lang w:val="en-GB"/>
              </w:rPr>
            </w:pPr>
            <w:r w:rsidRPr="009A6F08">
              <w:rPr>
                <w:rFonts w:cs="Arial"/>
                <w:sz w:val="22"/>
                <w:szCs w:val="22"/>
                <w:lang w:val="en-GB"/>
              </w:rPr>
              <w:t>Interior</w:t>
            </w:r>
          </w:p>
        </w:tc>
        <w:tc>
          <w:tcPr>
            <w:tcW w:w="1191" w:type="dxa"/>
          </w:tcPr>
          <w:p w14:paraId="1874BC1A"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3.7</w:t>
            </w:r>
          </w:p>
        </w:tc>
        <w:tc>
          <w:tcPr>
            <w:tcW w:w="1191" w:type="dxa"/>
          </w:tcPr>
          <w:p w14:paraId="5160E811"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0DB3BDFA"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1.7</w:t>
            </w:r>
          </w:p>
        </w:tc>
        <w:tc>
          <w:tcPr>
            <w:tcW w:w="1169" w:type="dxa"/>
          </w:tcPr>
          <w:p w14:paraId="438BE594"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1.2</w:t>
            </w:r>
          </w:p>
        </w:tc>
      </w:tr>
      <w:tr w:rsidR="00D0013D" w:rsidRPr="009A6F08" w14:paraId="678DC7E0"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566D7CDE" w14:textId="77777777" w:rsidR="00D0013D" w:rsidRPr="009A6F08" w:rsidRDefault="00D0013D" w:rsidP="00F721B7">
            <w:pPr>
              <w:ind w:left="1169"/>
              <w:rPr>
                <w:rFonts w:cs="Arial"/>
                <w:sz w:val="22"/>
                <w:szCs w:val="22"/>
                <w:lang w:val="en-GB"/>
              </w:rPr>
            </w:pPr>
            <w:r w:rsidRPr="009A6F08">
              <w:rPr>
                <w:rFonts w:cs="Arial"/>
                <w:sz w:val="22"/>
                <w:szCs w:val="22"/>
                <w:lang w:val="en-GB"/>
              </w:rPr>
              <w:t>Mediterranean</w:t>
            </w:r>
          </w:p>
        </w:tc>
        <w:tc>
          <w:tcPr>
            <w:tcW w:w="1191" w:type="dxa"/>
          </w:tcPr>
          <w:p w14:paraId="415C2D8F"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4.9</w:t>
            </w:r>
          </w:p>
        </w:tc>
        <w:tc>
          <w:tcPr>
            <w:tcW w:w="1191" w:type="dxa"/>
          </w:tcPr>
          <w:p w14:paraId="084CA9C9"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001A278A"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1.8</w:t>
            </w:r>
          </w:p>
        </w:tc>
        <w:tc>
          <w:tcPr>
            <w:tcW w:w="1169" w:type="dxa"/>
          </w:tcPr>
          <w:p w14:paraId="066B905C"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1.3</w:t>
            </w:r>
          </w:p>
        </w:tc>
      </w:tr>
      <w:tr w:rsidR="00D0013D" w:rsidRPr="009A6F08" w14:paraId="263C0013"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4539DC43" w14:textId="77777777" w:rsidR="00D0013D" w:rsidRPr="009A6F08" w:rsidRDefault="00D0013D" w:rsidP="00F721B7">
            <w:pPr>
              <w:ind w:left="1169"/>
              <w:rPr>
                <w:rFonts w:cs="Arial"/>
                <w:sz w:val="22"/>
                <w:szCs w:val="22"/>
                <w:lang w:val="en-GB"/>
              </w:rPr>
            </w:pPr>
            <w:r w:rsidRPr="009A6F08">
              <w:rPr>
                <w:rFonts w:cs="Arial"/>
                <w:sz w:val="22"/>
                <w:szCs w:val="22"/>
                <w:lang w:val="en-GB"/>
              </w:rPr>
              <w:t>South</w:t>
            </w:r>
          </w:p>
        </w:tc>
        <w:tc>
          <w:tcPr>
            <w:tcW w:w="1191" w:type="dxa"/>
          </w:tcPr>
          <w:p w14:paraId="57C3E203"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5.8</w:t>
            </w:r>
          </w:p>
        </w:tc>
        <w:tc>
          <w:tcPr>
            <w:tcW w:w="1191" w:type="dxa"/>
          </w:tcPr>
          <w:p w14:paraId="10C2679B"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0D0D68F9"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2.4</w:t>
            </w:r>
          </w:p>
        </w:tc>
        <w:tc>
          <w:tcPr>
            <w:tcW w:w="1169" w:type="dxa"/>
          </w:tcPr>
          <w:p w14:paraId="5680CCC2"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1.7</w:t>
            </w:r>
          </w:p>
        </w:tc>
      </w:tr>
      <w:tr w:rsidR="00D0013D" w:rsidRPr="009A6F08" w14:paraId="299C172B"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66DBAB52" w14:textId="77777777" w:rsidR="00D0013D" w:rsidRPr="009A6F08" w:rsidRDefault="00D0013D" w:rsidP="00F721B7">
            <w:pPr>
              <w:ind w:left="460"/>
              <w:rPr>
                <w:rFonts w:cs="Arial"/>
                <w:i/>
                <w:sz w:val="22"/>
                <w:szCs w:val="22"/>
                <w:lang w:val="en-GB"/>
              </w:rPr>
            </w:pPr>
          </w:p>
        </w:tc>
        <w:tc>
          <w:tcPr>
            <w:tcW w:w="1191" w:type="dxa"/>
          </w:tcPr>
          <w:p w14:paraId="14486180"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91" w:type="dxa"/>
          </w:tcPr>
          <w:p w14:paraId="37D136E1"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7033253C"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75286448"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D0013D" w:rsidRPr="009A6F08" w14:paraId="4B26F34F"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64318D95" w14:textId="77777777" w:rsidR="00D0013D" w:rsidRPr="009A6F08" w:rsidRDefault="00D0013D" w:rsidP="00F721B7">
            <w:pPr>
              <w:ind w:left="460"/>
              <w:rPr>
                <w:rFonts w:cs="Arial"/>
                <w:sz w:val="22"/>
                <w:szCs w:val="22"/>
                <w:lang w:val="en-GB"/>
              </w:rPr>
            </w:pPr>
            <w:r w:rsidRPr="009A6F08">
              <w:rPr>
                <w:rFonts w:cs="Arial"/>
                <w:i/>
                <w:sz w:val="22"/>
                <w:szCs w:val="22"/>
                <w:lang w:val="en-GB"/>
              </w:rPr>
              <w:t xml:space="preserve">(B) </w:t>
            </w:r>
            <w:r w:rsidRPr="009A6F08">
              <w:rPr>
                <w:rFonts w:cs="Arial"/>
                <w:sz w:val="22"/>
                <w:szCs w:val="22"/>
                <w:lang w:val="en-GB"/>
              </w:rPr>
              <w:t xml:space="preserve">5 kg. of cheese </w:t>
            </w:r>
          </w:p>
        </w:tc>
        <w:tc>
          <w:tcPr>
            <w:tcW w:w="1191" w:type="dxa"/>
          </w:tcPr>
          <w:p w14:paraId="5C117979"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2.0</w:t>
            </w:r>
          </w:p>
        </w:tc>
        <w:tc>
          <w:tcPr>
            <w:tcW w:w="1191" w:type="dxa"/>
          </w:tcPr>
          <w:p w14:paraId="256E09D3"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1.1</w:t>
            </w:r>
          </w:p>
        </w:tc>
        <w:tc>
          <w:tcPr>
            <w:tcW w:w="1169" w:type="dxa"/>
          </w:tcPr>
          <w:p w14:paraId="097BA897"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1.1</w:t>
            </w:r>
          </w:p>
        </w:tc>
        <w:tc>
          <w:tcPr>
            <w:tcW w:w="1169" w:type="dxa"/>
          </w:tcPr>
          <w:p w14:paraId="67FF6086"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0.7</w:t>
            </w:r>
          </w:p>
        </w:tc>
      </w:tr>
      <w:tr w:rsidR="00D0013D" w:rsidRPr="009A6F08" w14:paraId="624ECF12"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3050F67E" w14:textId="77777777" w:rsidR="00D0013D" w:rsidRPr="009A6F08" w:rsidRDefault="00D0013D" w:rsidP="00F721B7">
            <w:pPr>
              <w:ind w:left="460"/>
              <w:rPr>
                <w:rFonts w:cs="Arial"/>
                <w:sz w:val="22"/>
                <w:szCs w:val="22"/>
                <w:lang w:val="en-GB"/>
              </w:rPr>
            </w:pPr>
            <w:r w:rsidRPr="009A6F08">
              <w:rPr>
                <w:rFonts w:cs="Arial"/>
                <w:i/>
                <w:sz w:val="22"/>
                <w:szCs w:val="22"/>
                <w:lang w:val="en-GB"/>
              </w:rPr>
              <w:t xml:space="preserve">(C) </w:t>
            </w:r>
            <w:r w:rsidRPr="009A6F08">
              <w:rPr>
                <w:rFonts w:cs="Arial"/>
                <w:sz w:val="22"/>
                <w:szCs w:val="22"/>
                <w:lang w:val="en-GB"/>
              </w:rPr>
              <w:t xml:space="preserve">10 kg. of yoghurt </w:t>
            </w:r>
          </w:p>
        </w:tc>
        <w:tc>
          <w:tcPr>
            <w:tcW w:w="1191" w:type="dxa"/>
          </w:tcPr>
          <w:p w14:paraId="2D0CFC9E"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91" w:type="dxa"/>
          </w:tcPr>
          <w:p w14:paraId="6643FFC1"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59B77E75"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0.7</w:t>
            </w:r>
          </w:p>
        </w:tc>
        <w:tc>
          <w:tcPr>
            <w:tcW w:w="1169" w:type="dxa"/>
          </w:tcPr>
          <w:p w14:paraId="6F7B2532"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0.4</w:t>
            </w:r>
          </w:p>
        </w:tc>
      </w:tr>
      <w:tr w:rsidR="00D0013D" w:rsidRPr="009A6F08" w14:paraId="73EB45DA"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046AD290" w14:textId="77777777" w:rsidR="00D0013D" w:rsidRPr="009A6F08" w:rsidRDefault="00D0013D" w:rsidP="00F721B7">
            <w:pPr>
              <w:ind w:left="460"/>
              <w:rPr>
                <w:rFonts w:cs="Arial"/>
                <w:i/>
                <w:sz w:val="22"/>
                <w:szCs w:val="22"/>
                <w:lang w:val="en-GB"/>
              </w:rPr>
            </w:pPr>
            <w:r w:rsidRPr="009A6F08">
              <w:rPr>
                <w:rFonts w:cs="Arial"/>
                <w:i/>
                <w:sz w:val="22"/>
                <w:szCs w:val="22"/>
                <w:lang w:val="en-GB"/>
              </w:rPr>
              <w:t>(A)</w:t>
            </w:r>
            <w:r w:rsidRPr="009A6F08">
              <w:rPr>
                <w:rFonts w:cs="Arial"/>
                <w:sz w:val="22"/>
                <w:szCs w:val="22"/>
                <w:lang w:val="en-GB"/>
              </w:rPr>
              <w:t>+</w:t>
            </w:r>
            <w:r w:rsidRPr="009A6F08">
              <w:rPr>
                <w:rFonts w:cs="Arial"/>
                <w:i/>
                <w:sz w:val="22"/>
                <w:szCs w:val="22"/>
                <w:lang w:val="en-GB"/>
              </w:rPr>
              <w:t>(B)</w:t>
            </w:r>
          </w:p>
        </w:tc>
        <w:tc>
          <w:tcPr>
            <w:tcW w:w="1191" w:type="dxa"/>
          </w:tcPr>
          <w:p w14:paraId="111C9CCE"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6.4</w:t>
            </w:r>
          </w:p>
        </w:tc>
        <w:tc>
          <w:tcPr>
            <w:tcW w:w="1191" w:type="dxa"/>
          </w:tcPr>
          <w:p w14:paraId="11B8510C"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3.8</w:t>
            </w:r>
          </w:p>
        </w:tc>
        <w:tc>
          <w:tcPr>
            <w:tcW w:w="1169" w:type="dxa"/>
          </w:tcPr>
          <w:p w14:paraId="6709F467"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3.0</w:t>
            </w:r>
          </w:p>
        </w:tc>
        <w:tc>
          <w:tcPr>
            <w:tcW w:w="1169" w:type="dxa"/>
          </w:tcPr>
          <w:p w14:paraId="03F1F25B"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2.0</w:t>
            </w:r>
          </w:p>
        </w:tc>
      </w:tr>
      <w:tr w:rsidR="00D0013D" w:rsidRPr="009A6F08" w14:paraId="7ECDA7D4"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23E3B043" w14:textId="77777777" w:rsidR="00D0013D" w:rsidRPr="009A6F08" w:rsidRDefault="00D0013D" w:rsidP="00F721B7">
            <w:pPr>
              <w:ind w:left="460"/>
              <w:rPr>
                <w:rFonts w:cs="Arial"/>
                <w:i/>
                <w:sz w:val="22"/>
                <w:szCs w:val="22"/>
                <w:lang w:val="en-GB"/>
              </w:rPr>
            </w:pPr>
            <w:r w:rsidRPr="009A6F08">
              <w:rPr>
                <w:rFonts w:cs="Arial"/>
                <w:i/>
                <w:sz w:val="22"/>
                <w:szCs w:val="22"/>
                <w:lang w:val="en-GB"/>
              </w:rPr>
              <w:t>(A)</w:t>
            </w:r>
            <w:r w:rsidRPr="009A6F08">
              <w:rPr>
                <w:rFonts w:cs="Arial"/>
                <w:sz w:val="22"/>
                <w:szCs w:val="22"/>
                <w:lang w:val="en-GB"/>
              </w:rPr>
              <w:t>+</w:t>
            </w:r>
            <w:r w:rsidRPr="009A6F08">
              <w:rPr>
                <w:rFonts w:cs="Arial"/>
                <w:i/>
                <w:sz w:val="22"/>
                <w:szCs w:val="22"/>
                <w:lang w:val="en-GB"/>
              </w:rPr>
              <w:t>(B)</w:t>
            </w:r>
            <w:r w:rsidRPr="009A6F08">
              <w:rPr>
                <w:rFonts w:cs="Arial"/>
                <w:sz w:val="22"/>
                <w:szCs w:val="22"/>
                <w:lang w:val="en-GB"/>
              </w:rPr>
              <w:t>+</w:t>
            </w:r>
            <w:r w:rsidRPr="009A6F08">
              <w:rPr>
                <w:rFonts w:cs="Arial"/>
                <w:i/>
                <w:sz w:val="22"/>
                <w:szCs w:val="22"/>
                <w:lang w:val="en-GB"/>
              </w:rPr>
              <w:t>(C)</w:t>
            </w:r>
          </w:p>
        </w:tc>
        <w:tc>
          <w:tcPr>
            <w:tcW w:w="1191" w:type="dxa"/>
          </w:tcPr>
          <w:p w14:paraId="70EDBBC0"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91" w:type="dxa"/>
          </w:tcPr>
          <w:p w14:paraId="6B48A48A"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5CDD42A2"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3.6</w:t>
            </w:r>
          </w:p>
        </w:tc>
        <w:tc>
          <w:tcPr>
            <w:tcW w:w="1169" w:type="dxa"/>
          </w:tcPr>
          <w:p w14:paraId="2F522E79"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2.4</w:t>
            </w:r>
          </w:p>
        </w:tc>
      </w:tr>
      <w:tr w:rsidR="00D0013D" w:rsidRPr="009A6F08" w14:paraId="323427FF"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32AC61FC" w14:textId="77777777" w:rsidR="00D0013D" w:rsidRPr="009A6F08" w:rsidRDefault="00D0013D" w:rsidP="00F721B7">
            <w:pPr>
              <w:rPr>
                <w:rFonts w:cs="Arial"/>
                <w:sz w:val="22"/>
                <w:szCs w:val="22"/>
                <w:lang w:val="en-GB"/>
              </w:rPr>
            </w:pPr>
          </w:p>
        </w:tc>
        <w:tc>
          <w:tcPr>
            <w:tcW w:w="1191" w:type="dxa"/>
          </w:tcPr>
          <w:p w14:paraId="1A37BEAA"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91" w:type="dxa"/>
          </w:tcPr>
          <w:p w14:paraId="679A497C"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25021010"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5B2EEC82" w14:textId="77777777" w:rsidR="00D0013D" w:rsidRPr="009A6F08" w:rsidRDefault="00D0013D" w:rsidP="00F721B7">
            <w:pPr>
              <w:ind w:left="-408" w:right="284"/>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r w:rsidR="00D0013D" w:rsidRPr="009A6F08" w14:paraId="122912C4" w14:textId="77777777" w:rsidTr="00F721B7">
        <w:tc>
          <w:tcPr>
            <w:cnfStyle w:val="001000000000" w:firstRow="0" w:lastRow="0" w:firstColumn="1" w:lastColumn="0" w:oddVBand="0" w:evenVBand="0" w:oddHBand="0" w:evenHBand="0" w:firstRowFirstColumn="0" w:firstRowLastColumn="0" w:lastRowFirstColumn="0" w:lastRowLastColumn="0"/>
            <w:tcW w:w="8505" w:type="dxa"/>
            <w:gridSpan w:val="5"/>
          </w:tcPr>
          <w:p w14:paraId="15EF2347" w14:textId="77777777" w:rsidR="00D0013D" w:rsidRPr="009A6F08" w:rsidRDefault="00D0013D" w:rsidP="00F721B7">
            <w:pPr>
              <w:ind w:left="35" w:right="255"/>
              <w:rPr>
                <w:rFonts w:cs="Arial"/>
                <w:sz w:val="22"/>
                <w:szCs w:val="22"/>
                <w:lang w:val="en-GB"/>
              </w:rPr>
            </w:pPr>
            <w:r w:rsidRPr="009A6F08">
              <w:rPr>
                <w:rFonts w:cs="Arial"/>
                <w:sz w:val="22"/>
                <w:szCs w:val="22"/>
                <w:lang w:val="en-GB"/>
              </w:rPr>
              <w:t>Share of household income actually allocated to buying (…) (%)</w:t>
            </w:r>
          </w:p>
        </w:tc>
      </w:tr>
      <w:tr w:rsidR="00D0013D" w:rsidRPr="009A6F08" w14:paraId="0C238641"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4CC1B6FA" w14:textId="77777777" w:rsidR="00D0013D" w:rsidRPr="009A6F08" w:rsidRDefault="00D0013D" w:rsidP="00F721B7">
            <w:pPr>
              <w:ind w:firstLine="460"/>
              <w:rPr>
                <w:rFonts w:cs="Arial"/>
                <w:sz w:val="22"/>
                <w:szCs w:val="22"/>
                <w:lang w:val="en-GB"/>
              </w:rPr>
            </w:pPr>
            <w:r w:rsidRPr="009A6F08">
              <w:rPr>
                <w:rFonts w:cs="Arial"/>
                <w:sz w:val="22"/>
                <w:szCs w:val="22"/>
                <w:lang w:val="en-GB"/>
              </w:rPr>
              <w:t>Liquid milk and cheese</w:t>
            </w:r>
          </w:p>
        </w:tc>
        <w:tc>
          <w:tcPr>
            <w:tcW w:w="1191" w:type="dxa"/>
          </w:tcPr>
          <w:p w14:paraId="3E95837D" w14:textId="77777777" w:rsidR="00D0013D" w:rsidRPr="009A6F08" w:rsidRDefault="00D0013D" w:rsidP="00F721B7">
            <w:pPr>
              <w:ind w:left="-805" w:right="255"/>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3.7</w:t>
            </w:r>
          </w:p>
        </w:tc>
        <w:tc>
          <w:tcPr>
            <w:tcW w:w="1191" w:type="dxa"/>
          </w:tcPr>
          <w:p w14:paraId="08E2371E" w14:textId="77777777" w:rsidR="00D0013D" w:rsidRPr="009A6F08" w:rsidRDefault="00D0013D" w:rsidP="00F721B7">
            <w:pPr>
              <w:ind w:left="-408" w:right="255"/>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3.9</w:t>
            </w:r>
          </w:p>
        </w:tc>
        <w:tc>
          <w:tcPr>
            <w:tcW w:w="1169" w:type="dxa"/>
          </w:tcPr>
          <w:p w14:paraId="6969322B" w14:textId="77777777" w:rsidR="00D0013D" w:rsidRPr="009A6F08" w:rsidRDefault="00D0013D" w:rsidP="00F721B7">
            <w:pPr>
              <w:ind w:left="-408" w:right="255"/>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3.3</w:t>
            </w:r>
          </w:p>
        </w:tc>
        <w:tc>
          <w:tcPr>
            <w:tcW w:w="1169" w:type="dxa"/>
          </w:tcPr>
          <w:p w14:paraId="03B68546" w14:textId="77777777" w:rsidR="00D0013D" w:rsidRPr="009A6F08" w:rsidRDefault="00D0013D" w:rsidP="00F721B7">
            <w:pPr>
              <w:ind w:left="-408" w:right="255"/>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2.3</w:t>
            </w:r>
          </w:p>
        </w:tc>
      </w:tr>
      <w:tr w:rsidR="00D0013D" w:rsidRPr="009A6F08" w14:paraId="7512D7DC"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49E22B74" w14:textId="77777777" w:rsidR="00D0013D" w:rsidRPr="009A6F08" w:rsidRDefault="00D0013D" w:rsidP="00F721B7">
            <w:pPr>
              <w:ind w:firstLine="460"/>
              <w:rPr>
                <w:rFonts w:cs="Arial"/>
                <w:sz w:val="22"/>
                <w:szCs w:val="22"/>
                <w:lang w:val="en-GB"/>
              </w:rPr>
            </w:pPr>
            <w:r w:rsidRPr="009A6F08">
              <w:rPr>
                <w:rFonts w:cs="Arial"/>
                <w:sz w:val="22"/>
                <w:szCs w:val="22"/>
                <w:lang w:val="en-GB"/>
              </w:rPr>
              <w:t xml:space="preserve">Liquid milk, </w:t>
            </w:r>
            <w:proofErr w:type="gramStart"/>
            <w:r w:rsidRPr="009A6F08">
              <w:rPr>
                <w:rFonts w:cs="Arial"/>
                <w:sz w:val="22"/>
                <w:szCs w:val="22"/>
                <w:lang w:val="en-GB"/>
              </w:rPr>
              <w:t>cheese</w:t>
            </w:r>
            <w:proofErr w:type="gramEnd"/>
            <w:r w:rsidRPr="009A6F08">
              <w:rPr>
                <w:rFonts w:cs="Arial"/>
                <w:sz w:val="22"/>
                <w:szCs w:val="22"/>
                <w:lang w:val="en-GB"/>
              </w:rPr>
              <w:t xml:space="preserve"> and yoghurt</w:t>
            </w:r>
          </w:p>
        </w:tc>
        <w:tc>
          <w:tcPr>
            <w:tcW w:w="1191" w:type="dxa"/>
          </w:tcPr>
          <w:p w14:paraId="04A9D1B1" w14:textId="77777777" w:rsidR="00D0013D" w:rsidRPr="009A6F08" w:rsidRDefault="00D0013D" w:rsidP="00F721B7">
            <w:pPr>
              <w:ind w:left="-805" w:right="255" w:firstLine="166"/>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91" w:type="dxa"/>
          </w:tcPr>
          <w:p w14:paraId="01DE30E5" w14:textId="77777777" w:rsidR="00D0013D" w:rsidRPr="009A6F08" w:rsidRDefault="00D0013D" w:rsidP="00F721B7">
            <w:pPr>
              <w:ind w:left="-408" w:right="255"/>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44068082" w14:textId="77777777" w:rsidR="00D0013D" w:rsidRPr="009A6F08" w:rsidRDefault="00D0013D" w:rsidP="00F721B7">
            <w:pPr>
              <w:ind w:left="-408" w:right="255"/>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3.6</w:t>
            </w:r>
          </w:p>
        </w:tc>
        <w:tc>
          <w:tcPr>
            <w:tcW w:w="1169" w:type="dxa"/>
          </w:tcPr>
          <w:p w14:paraId="487CC15D" w14:textId="77777777" w:rsidR="00D0013D" w:rsidRPr="009A6F08" w:rsidRDefault="00D0013D" w:rsidP="00F721B7">
            <w:pPr>
              <w:ind w:left="-408" w:right="255"/>
              <w:cnfStyle w:val="000000000000" w:firstRow="0" w:lastRow="0" w:firstColumn="0" w:lastColumn="0" w:oddVBand="0" w:evenVBand="0" w:oddHBand="0" w:evenHBand="0" w:firstRowFirstColumn="0" w:firstRowLastColumn="0" w:lastRowFirstColumn="0" w:lastRowLastColumn="0"/>
              <w:rPr>
                <w:rFonts w:cs="Arial"/>
                <w:sz w:val="22"/>
                <w:szCs w:val="22"/>
                <w:lang w:val="en-GB"/>
              </w:rPr>
            </w:pPr>
            <w:r w:rsidRPr="009A6F08">
              <w:rPr>
                <w:rFonts w:cs="Arial"/>
                <w:sz w:val="22"/>
                <w:szCs w:val="22"/>
                <w:lang w:val="en-GB"/>
              </w:rPr>
              <w:t>2.6</w:t>
            </w:r>
          </w:p>
        </w:tc>
      </w:tr>
      <w:tr w:rsidR="00D0013D" w:rsidRPr="009A6F08" w14:paraId="1A22D704" w14:textId="77777777" w:rsidTr="00F721B7">
        <w:tc>
          <w:tcPr>
            <w:cnfStyle w:val="001000000000" w:firstRow="0" w:lastRow="0" w:firstColumn="1" w:lastColumn="0" w:oddVBand="0" w:evenVBand="0" w:oddHBand="0" w:evenHBand="0" w:firstRowFirstColumn="0" w:firstRowLastColumn="0" w:lastRowFirstColumn="0" w:lastRowLastColumn="0"/>
            <w:tcW w:w="3785" w:type="dxa"/>
          </w:tcPr>
          <w:p w14:paraId="6EF01346" w14:textId="77777777" w:rsidR="00D0013D" w:rsidRPr="009A6F08" w:rsidRDefault="00D0013D" w:rsidP="00F721B7">
            <w:pPr>
              <w:rPr>
                <w:rFonts w:cs="Arial"/>
                <w:sz w:val="22"/>
                <w:szCs w:val="22"/>
                <w:lang w:val="en-GB"/>
              </w:rPr>
            </w:pPr>
          </w:p>
        </w:tc>
        <w:tc>
          <w:tcPr>
            <w:tcW w:w="1191" w:type="dxa"/>
          </w:tcPr>
          <w:p w14:paraId="0B20441E" w14:textId="77777777" w:rsidR="00D0013D" w:rsidRPr="009A6F08" w:rsidRDefault="00D0013D"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91" w:type="dxa"/>
          </w:tcPr>
          <w:p w14:paraId="6FE1E4B9" w14:textId="77777777" w:rsidR="00D0013D" w:rsidRPr="009A6F08" w:rsidRDefault="00D0013D"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48108564" w14:textId="77777777" w:rsidR="00D0013D" w:rsidRPr="009A6F08" w:rsidRDefault="00D0013D"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c>
          <w:tcPr>
            <w:tcW w:w="1169" w:type="dxa"/>
          </w:tcPr>
          <w:p w14:paraId="3CDA34A8" w14:textId="77777777" w:rsidR="00D0013D" w:rsidRPr="009A6F08" w:rsidRDefault="00D0013D"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GB"/>
              </w:rPr>
            </w:pPr>
          </w:p>
        </w:tc>
      </w:tr>
    </w:tbl>
    <w:p w14:paraId="459F80F4" w14:textId="77777777" w:rsidR="00D0013D" w:rsidRPr="009A6F08" w:rsidRDefault="00D0013D" w:rsidP="00D0013D">
      <w:pPr>
        <w:spacing w:line="240" w:lineRule="auto"/>
        <w:ind w:left="709" w:hanging="709"/>
        <w:rPr>
          <w:rFonts w:cs="Arial"/>
          <w:i/>
          <w:sz w:val="20"/>
          <w:szCs w:val="20"/>
          <w:lang w:val="en-GB"/>
        </w:rPr>
      </w:pPr>
    </w:p>
    <w:p w14:paraId="1322FBF1" w14:textId="77777777" w:rsidR="00D0013D" w:rsidRPr="009A6F08" w:rsidRDefault="00D0013D" w:rsidP="00D0013D">
      <w:pPr>
        <w:spacing w:line="240" w:lineRule="auto"/>
        <w:ind w:left="709" w:hanging="709"/>
        <w:rPr>
          <w:rFonts w:cs="Arial"/>
          <w:sz w:val="20"/>
          <w:szCs w:val="20"/>
          <w:lang w:val="en-US"/>
        </w:rPr>
      </w:pPr>
      <w:r w:rsidRPr="009A6F08">
        <w:rPr>
          <w:rFonts w:cs="Arial"/>
          <w:i/>
          <w:sz w:val="20"/>
          <w:szCs w:val="20"/>
        </w:rPr>
        <w:t xml:space="preserve">Source: </w:t>
      </w:r>
      <w:r w:rsidRPr="009A6F08">
        <w:rPr>
          <w:rFonts w:cs="Arial"/>
          <w:sz w:val="20"/>
          <w:szCs w:val="20"/>
        </w:rPr>
        <w:t xml:space="preserve">INE, </w:t>
      </w:r>
      <w:r w:rsidRPr="009A6F08">
        <w:rPr>
          <w:rFonts w:cs="Arial"/>
          <w:i/>
          <w:sz w:val="20"/>
          <w:szCs w:val="20"/>
        </w:rPr>
        <w:t>Encuesta de presupuestos familiares</w:t>
      </w:r>
      <w:r w:rsidRPr="009A6F08">
        <w:rPr>
          <w:rFonts w:cs="Arial"/>
          <w:sz w:val="20"/>
          <w:szCs w:val="20"/>
        </w:rPr>
        <w:t xml:space="preserve">. </w:t>
      </w:r>
      <w:r w:rsidRPr="009A6F08">
        <w:rPr>
          <w:rFonts w:cs="Arial"/>
          <w:sz w:val="20"/>
          <w:szCs w:val="20"/>
          <w:lang w:val="en-US"/>
        </w:rPr>
        <w:t>See main text for details.</w:t>
      </w:r>
    </w:p>
    <w:p w14:paraId="5760D114" w14:textId="77777777" w:rsidR="00BD7193" w:rsidRDefault="00BD7193">
      <w:pPr>
        <w:rPr>
          <w:rFonts w:cs="Arial"/>
          <w:b/>
          <w:sz w:val="22"/>
          <w:szCs w:val="22"/>
          <w:lang w:val="en-US"/>
        </w:rPr>
      </w:pPr>
      <w:r>
        <w:rPr>
          <w:rFonts w:cs="Arial"/>
          <w:b/>
          <w:sz w:val="22"/>
          <w:szCs w:val="22"/>
          <w:lang w:val="en-US"/>
        </w:rPr>
        <w:br w:type="page"/>
      </w:r>
    </w:p>
    <w:p w14:paraId="6C3677A0" w14:textId="4658CA97" w:rsidR="00AF4283" w:rsidRPr="009A6F08" w:rsidRDefault="00AF4283" w:rsidP="00AF4283">
      <w:pPr>
        <w:spacing w:line="240" w:lineRule="auto"/>
        <w:ind w:left="822" w:hanging="822"/>
        <w:jc w:val="left"/>
        <w:rPr>
          <w:rFonts w:cs="Arial"/>
          <w:b/>
          <w:sz w:val="22"/>
          <w:szCs w:val="22"/>
          <w:lang w:val="en-US"/>
        </w:rPr>
      </w:pPr>
      <w:r w:rsidRPr="009A6F08">
        <w:rPr>
          <w:rFonts w:cs="Arial"/>
          <w:b/>
          <w:sz w:val="22"/>
          <w:szCs w:val="22"/>
          <w:lang w:val="en-US"/>
        </w:rPr>
        <w:lastRenderedPageBreak/>
        <w:t xml:space="preserve">Table 3. </w:t>
      </w:r>
      <w:r w:rsidRPr="009A6F08">
        <w:rPr>
          <w:rFonts w:cs="Arial"/>
          <w:i/>
          <w:sz w:val="22"/>
          <w:szCs w:val="22"/>
          <w:lang w:val="en-US"/>
        </w:rPr>
        <w:t xml:space="preserve">Change in dairy-specific purchasing power: decomposition of income and price </w:t>
      </w:r>
      <w:proofErr w:type="gramStart"/>
      <w:r w:rsidRPr="009A6F08">
        <w:rPr>
          <w:rFonts w:cs="Arial"/>
          <w:i/>
          <w:sz w:val="22"/>
          <w:szCs w:val="22"/>
          <w:lang w:val="en-US"/>
        </w:rPr>
        <w:t>effects</w:t>
      </w:r>
      <w:proofErr w:type="gramEnd"/>
    </w:p>
    <w:p w14:paraId="009821B3" w14:textId="77777777" w:rsidR="00AF4283" w:rsidRPr="009A6F08" w:rsidRDefault="00AF4283" w:rsidP="00AF4283">
      <w:pPr>
        <w:spacing w:line="240" w:lineRule="auto"/>
        <w:jc w:val="left"/>
        <w:rPr>
          <w:rFonts w:cs="Arial"/>
          <w:i/>
          <w:sz w:val="22"/>
          <w:szCs w:val="22"/>
          <w:lang w:val="en-US"/>
        </w:rPr>
      </w:pPr>
    </w:p>
    <w:tbl>
      <w:tblPr>
        <w:tblStyle w:val="CJE"/>
        <w:tblW w:w="8505" w:type="dxa"/>
        <w:tblLook w:val="04A0" w:firstRow="1" w:lastRow="0" w:firstColumn="1" w:lastColumn="0" w:noHBand="0" w:noVBand="1"/>
      </w:tblPr>
      <w:tblGrid>
        <w:gridCol w:w="4479"/>
        <w:gridCol w:w="1342"/>
        <w:gridCol w:w="1342"/>
        <w:gridCol w:w="1342"/>
      </w:tblGrid>
      <w:tr w:rsidR="00AF4283" w:rsidRPr="009A6F08" w14:paraId="1A94AAED" w14:textId="77777777" w:rsidTr="00F72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9" w:type="dxa"/>
          </w:tcPr>
          <w:p w14:paraId="67518B25" w14:textId="77777777" w:rsidR="00AF4283" w:rsidRPr="009A6F08" w:rsidRDefault="00AF4283" w:rsidP="00F721B7">
            <w:pPr>
              <w:jc w:val="left"/>
              <w:rPr>
                <w:rFonts w:cs="Arial"/>
                <w:sz w:val="22"/>
                <w:szCs w:val="22"/>
                <w:lang w:val="en-US"/>
              </w:rPr>
            </w:pPr>
          </w:p>
        </w:tc>
        <w:tc>
          <w:tcPr>
            <w:tcW w:w="1342" w:type="dxa"/>
          </w:tcPr>
          <w:p w14:paraId="3E53F058" w14:textId="77777777" w:rsidR="00AF4283" w:rsidRPr="009A6F08" w:rsidRDefault="00AF4283"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1964-1973</w:t>
            </w:r>
          </w:p>
        </w:tc>
        <w:tc>
          <w:tcPr>
            <w:tcW w:w="1342" w:type="dxa"/>
          </w:tcPr>
          <w:p w14:paraId="35384679" w14:textId="77777777" w:rsidR="00AF4283" w:rsidRPr="009A6F08" w:rsidRDefault="00AF4283"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1973-1980</w:t>
            </w:r>
          </w:p>
        </w:tc>
        <w:tc>
          <w:tcPr>
            <w:tcW w:w="1342" w:type="dxa"/>
          </w:tcPr>
          <w:p w14:paraId="4AF45604" w14:textId="77777777" w:rsidR="00AF4283" w:rsidRPr="009A6F08" w:rsidRDefault="00AF4283"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1980-1990</w:t>
            </w:r>
          </w:p>
        </w:tc>
      </w:tr>
      <w:tr w:rsidR="00AF4283" w:rsidRPr="009A6F08" w14:paraId="2D3CF464"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546E06E9" w14:textId="77777777" w:rsidR="00AF4283" w:rsidRPr="009A6F08" w:rsidRDefault="00AF4283" w:rsidP="00F721B7">
            <w:pPr>
              <w:rPr>
                <w:rFonts w:cs="Arial"/>
                <w:sz w:val="22"/>
                <w:szCs w:val="22"/>
                <w:lang w:val="en-US"/>
              </w:rPr>
            </w:pPr>
          </w:p>
        </w:tc>
        <w:tc>
          <w:tcPr>
            <w:tcW w:w="1342" w:type="dxa"/>
          </w:tcPr>
          <w:p w14:paraId="1C0BF70F"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1211A8D5"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4A86B790"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AF4283" w:rsidRPr="009A6F08" w14:paraId="27247319" w14:textId="77777777" w:rsidTr="00F721B7">
        <w:tc>
          <w:tcPr>
            <w:cnfStyle w:val="001000000000" w:firstRow="0" w:lastRow="0" w:firstColumn="1" w:lastColumn="0" w:oddVBand="0" w:evenVBand="0" w:oddHBand="0" w:evenHBand="0" w:firstRowFirstColumn="0" w:firstRowLastColumn="0" w:lastRowFirstColumn="0" w:lastRowLastColumn="0"/>
            <w:tcW w:w="8505" w:type="dxa"/>
            <w:gridSpan w:val="4"/>
          </w:tcPr>
          <w:p w14:paraId="16787B72" w14:textId="77777777" w:rsidR="00AF4283" w:rsidRPr="009A6F08" w:rsidRDefault="00AF4283" w:rsidP="00F721B7">
            <w:pPr>
              <w:ind w:left="319" w:right="325"/>
              <w:rPr>
                <w:rFonts w:cs="Arial"/>
                <w:sz w:val="22"/>
                <w:szCs w:val="22"/>
                <w:lang w:val="en-US"/>
              </w:rPr>
            </w:pPr>
            <w:r w:rsidRPr="009A6F08">
              <w:rPr>
                <w:rFonts w:cs="Arial"/>
                <w:sz w:val="22"/>
                <w:szCs w:val="22"/>
                <w:lang w:val="en-US"/>
              </w:rPr>
              <w:t>Change in dairy-specific purchasing power (</w:t>
            </w:r>
            <w:proofErr w:type="gramStart"/>
            <w:r w:rsidRPr="009A6F08">
              <w:rPr>
                <w:rFonts w:cs="Arial"/>
                <w:sz w:val="22"/>
                <w:szCs w:val="22"/>
                <w:lang w:val="en-US"/>
              </w:rPr>
              <w:t>%)</w:t>
            </w:r>
            <w:r w:rsidRPr="009A6F08">
              <w:rPr>
                <w:rFonts w:cs="Arial"/>
                <w:i/>
                <w:sz w:val="22"/>
                <w:szCs w:val="22"/>
                <w:vertAlign w:val="superscript"/>
                <w:lang w:val="en-US"/>
              </w:rPr>
              <w:t>a</w:t>
            </w:r>
            <w:proofErr w:type="gramEnd"/>
          </w:p>
        </w:tc>
      </w:tr>
      <w:tr w:rsidR="00AF4283" w:rsidRPr="009A6F08" w14:paraId="2991A912"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3C603FC7" w14:textId="77777777" w:rsidR="00AF4283" w:rsidRPr="009A6F08" w:rsidRDefault="00AF4283" w:rsidP="00F721B7">
            <w:pPr>
              <w:ind w:left="744"/>
              <w:rPr>
                <w:rFonts w:cs="Arial"/>
                <w:sz w:val="22"/>
                <w:szCs w:val="22"/>
                <w:lang w:val="en-US"/>
              </w:rPr>
            </w:pPr>
            <w:r w:rsidRPr="009A6F08">
              <w:rPr>
                <w:rFonts w:cs="Arial"/>
                <w:sz w:val="22"/>
                <w:szCs w:val="22"/>
                <w:lang w:val="en-US"/>
              </w:rPr>
              <w:t>Liquid milk</w:t>
            </w:r>
          </w:p>
        </w:tc>
        <w:tc>
          <w:tcPr>
            <w:tcW w:w="1342" w:type="dxa"/>
          </w:tcPr>
          <w:p w14:paraId="537B89E3"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5.3</w:t>
            </w:r>
          </w:p>
        </w:tc>
        <w:tc>
          <w:tcPr>
            <w:tcW w:w="1342" w:type="dxa"/>
          </w:tcPr>
          <w:p w14:paraId="4565A614"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5.2</w:t>
            </w:r>
          </w:p>
        </w:tc>
        <w:tc>
          <w:tcPr>
            <w:tcW w:w="1342" w:type="dxa"/>
          </w:tcPr>
          <w:p w14:paraId="67A11438"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3.1</w:t>
            </w:r>
          </w:p>
        </w:tc>
      </w:tr>
      <w:tr w:rsidR="00AF4283" w:rsidRPr="009A6F08" w14:paraId="66EFB9F3"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540FF3A0" w14:textId="77777777" w:rsidR="00AF4283" w:rsidRPr="009A6F08" w:rsidRDefault="00AF4283" w:rsidP="00F721B7">
            <w:pPr>
              <w:ind w:left="744"/>
              <w:rPr>
                <w:rFonts w:cs="Arial"/>
                <w:sz w:val="22"/>
                <w:szCs w:val="22"/>
                <w:lang w:val="en-US"/>
              </w:rPr>
            </w:pPr>
            <w:r w:rsidRPr="009A6F08">
              <w:rPr>
                <w:rFonts w:cs="Arial"/>
                <w:sz w:val="22"/>
                <w:szCs w:val="22"/>
                <w:lang w:val="en-US"/>
              </w:rPr>
              <w:t>Cheese</w:t>
            </w:r>
          </w:p>
        </w:tc>
        <w:tc>
          <w:tcPr>
            <w:tcW w:w="1342" w:type="dxa"/>
          </w:tcPr>
          <w:p w14:paraId="03022409"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6.6</w:t>
            </w:r>
          </w:p>
        </w:tc>
        <w:tc>
          <w:tcPr>
            <w:tcW w:w="1342" w:type="dxa"/>
          </w:tcPr>
          <w:p w14:paraId="042D17C2"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0.3</w:t>
            </w:r>
          </w:p>
        </w:tc>
        <w:tc>
          <w:tcPr>
            <w:tcW w:w="1342" w:type="dxa"/>
          </w:tcPr>
          <w:p w14:paraId="50F52094"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4.4</w:t>
            </w:r>
          </w:p>
        </w:tc>
      </w:tr>
      <w:tr w:rsidR="00AF4283" w:rsidRPr="009A6F08" w14:paraId="6CFEE273"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15BD9B49" w14:textId="77777777" w:rsidR="00AF4283" w:rsidRPr="009A6F08" w:rsidRDefault="00AF4283" w:rsidP="00F721B7">
            <w:pPr>
              <w:ind w:left="744"/>
              <w:rPr>
                <w:rFonts w:cs="Arial"/>
                <w:sz w:val="22"/>
                <w:szCs w:val="22"/>
                <w:lang w:val="en-US"/>
              </w:rPr>
            </w:pPr>
            <w:r w:rsidRPr="009A6F08">
              <w:rPr>
                <w:rFonts w:cs="Arial"/>
                <w:sz w:val="22"/>
                <w:szCs w:val="22"/>
                <w:lang w:val="en-US"/>
              </w:rPr>
              <w:t>Yoghurt</w:t>
            </w:r>
          </w:p>
        </w:tc>
        <w:tc>
          <w:tcPr>
            <w:tcW w:w="1342" w:type="dxa"/>
          </w:tcPr>
          <w:p w14:paraId="25FB0A99"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2AD26993"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6528E5A5"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4.4</w:t>
            </w:r>
          </w:p>
        </w:tc>
      </w:tr>
      <w:tr w:rsidR="00AF4283" w:rsidRPr="009A6F08" w14:paraId="6A732184"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09424B1E" w14:textId="77777777" w:rsidR="00AF4283" w:rsidRPr="009A6F08" w:rsidRDefault="00AF4283" w:rsidP="00F721B7">
            <w:pPr>
              <w:ind w:left="319"/>
              <w:rPr>
                <w:rFonts w:cs="Arial"/>
                <w:sz w:val="22"/>
                <w:szCs w:val="22"/>
                <w:lang w:val="en-US"/>
              </w:rPr>
            </w:pPr>
          </w:p>
        </w:tc>
        <w:tc>
          <w:tcPr>
            <w:tcW w:w="1342" w:type="dxa"/>
          </w:tcPr>
          <w:p w14:paraId="4F4882C2"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2BCD238B"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77D967E1"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AF4283" w:rsidRPr="009A6F08" w14:paraId="08D369E7"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5DD9ABAE" w14:textId="77777777" w:rsidR="00AF4283" w:rsidRPr="009A6F08" w:rsidRDefault="00AF4283" w:rsidP="00F721B7">
            <w:pPr>
              <w:ind w:left="319"/>
              <w:rPr>
                <w:rFonts w:cs="Arial"/>
                <w:i/>
                <w:sz w:val="22"/>
                <w:szCs w:val="22"/>
                <w:vertAlign w:val="superscript"/>
                <w:lang w:val="en-US"/>
              </w:rPr>
            </w:pPr>
            <w:r w:rsidRPr="009A6F08">
              <w:rPr>
                <w:rFonts w:cs="Arial"/>
                <w:sz w:val="22"/>
                <w:szCs w:val="22"/>
                <w:lang w:val="en-US"/>
              </w:rPr>
              <w:t>Change in household income (</w:t>
            </w:r>
            <w:proofErr w:type="gramStart"/>
            <w:r w:rsidRPr="009A6F08">
              <w:rPr>
                <w:rFonts w:cs="Arial"/>
                <w:sz w:val="22"/>
                <w:szCs w:val="22"/>
                <w:lang w:val="en-US"/>
              </w:rPr>
              <w:t>%)</w:t>
            </w:r>
            <w:r w:rsidRPr="009A6F08">
              <w:rPr>
                <w:rFonts w:cs="Arial"/>
                <w:i/>
                <w:sz w:val="22"/>
                <w:szCs w:val="22"/>
                <w:vertAlign w:val="superscript"/>
                <w:lang w:val="en-US"/>
              </w:rPr>
              <w:t>b</w:t>
            </w:r>
            <w:proofErr w:type="gramEnd"/>
          </w:p>
        </w:tc>
        <w:tc>
          <w:tcPr>
            <w:tcW w:w="1342" w:type="dxa"/>
          </w:tcPr>
          <w:p w14:paraId="029C0D2E"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5.4</w:t>
            </w:r>
          </w:p>
        </w:tc>
        <w:tc>
          <w:tcPr>
            <w:tcW w:w="1342" w:type="dxa"/>
          </w:tcPr>
          <w:p w14:paraId="37B23E75"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1.5</w:t>
            </w:r>
          </w:p>
        </w:tc>
        <w:tc>
          <w:tcPr>
            <w:tcW w:w="1342" w:type="dxa"/>
          </w:tcPr>
          <w:p w14:paraId="4C12D071"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2.5</w:t>
            </w:r>
          </w:p>
        </w:tc>
      </w:tr>
      <w:tr w:rsidR="00AF4283" w:rsidRPr="009A6F08" w14:paraId="3FF203D9"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31927725" w14:textId="77777777" w:rsidR="00AF4283" w:rsidRPr="009A6F08" w:rsidRDefault="00AF4283" w:rsidP="00F721B7">
            <w:pPr>
              <w:ind w:left="319"/>
              <w:rPr>
                <w:rFonts w:cs="Arial"/>
                <w:sz w:val="22"/>
                <w:szCs w:val="22"/>
                <w:lang w:val="en-US"/>
              </w:rPr>
            </w:pPr>
          </w:p>
        </w:tc>
        <w:tc>
          <w:tcPr>
            <w:tcW w:w="1342" w:type="dxa"/>
          </w:tcPr>
          <w:p w14:paraId="5AF19112"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00573616"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2CC2959A"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AF4283" w:rsidRPr="009A6F08" w14:paraId="173C9F99"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428A67F6" w14:textId="77777777" w:rsidR="00AF4283" w:rsidRPr="009A6F08" w:rsidRDefault="00AF4283" w:rsidP="00F721B7">
            <w:pPr>
              <w:ind w:left="319"/>
              <w:rPr>
                <w:rFonts w:cs="Arial"/>
                <w:sz w:val="22"/>
                <w:szCs w:val="22"/>
                <w:lang w:val="en-US"/>
              </w:rPr>
            </w:pPr>
            <w:r w:rsidRPr="009A6F08">
              <w:rPr>
                <w:rFonts w:cs="Arial"/>
                <w:sz w:val="22"/>
                <w:szCs w:val="22"/>
                <w:lang w:val="en-US"/>
              </w:rPr>
              <w:t>Change in consumer prices (</w:t>
            </w:r>
            <w:proofErr w:type="gramStart"/>
            <w:r w:rsidRPr="009A6F08">
              <w:rPr>
                <w:rFonts w:cs="Arial"/>
                <w:sz w:val="22"/>
                <w:szCs w:val="22"/>
                <w:lang w:val="en-US"/>
              </w:rPr>
              <w:t>%)</w:t>
            </w:r>
            <w:r w:rsidRPr="009A6F08">
              <w:rPr>
                <w:rFonts w:cs="Arial"/>
                <w:i/>
                <w:sz w:val="22"/>
                <w:szCs w:val="22"/>
                <w:vertAlign w:val="superscript"/>
                <w:lang w:val="en-US"/>
              </w:rPr>
              <w:t>c</w:t>
            </w:r>
            <w:proofErr w:type="gramEnd"/>
          </w:p>
        </w:tc>
        <w:tc>
          <w:tcPr>
            <w:tcW w:w="1342" w:type="dxa"/>
          </w:tcPr>
          <w:p w14:paraId="52C310D2"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20693AEE"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000692DC"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AF4283" w:rsidRPr="009A6F08" w14:paraId="53F01FA5"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0BC3615E" w14:textId="77777777" w:rsidR="00AF4283" w:rsidRPr="009A6F08" w:rsidRDefault="00AF4283" w:rsidP="00F721B7">
            <w:pPr>
              <w:ind w:left="744"/>
              <w:rPr>
                <w:rFonts w:cs="Arial"/>
                <w:sz w:val="22"/>
                <w:szCs w:val="22"/>
                <w:lang w:val="en-US"/>
              </w:rPr>
            </w:pPr>
            <w:r w:rsidRPr="009A6F08">
              <w:rPr>
                <w:rFonts w:cs="Arial"/>
                <w:sz w:val="22"/>
                <w:szCs w:val="22"/>
                <w:lang w:val="en-US"/>
              </w:rPr>
              <w:t>Liquid milk</w:t>
            </w:r>
          </w:p>
        </w:tc>
        <w:tc>
          <w:tcPr>
            <w:tcW w:w="1342" w:type="dxa"/>
          </w:tcPr>
          <w:p w14:paraId="617AF76E"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0.1</w:t>
            </w:r>
          </w:p>
        </w:tc>
        <w:tc>
          <w:tcPr>
            <w:tcW w:w="1342" w:type="dxa"/>
          </w:tcPr>
          <w:p w14:paraId="45732C05"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–3.6</w:t>
            </w:r>
          </w:p>
        </w:tc>
        <w:tc>
          <w:tcPr>
            <w:tcW w:w="1342" w:type="dxa"/>
          </w:tcPr>
          <w:p w14:paraId="6E6C8325"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–0.6</w:t>
            </w:r>
          </w:p>
        </w:tc>
      </w:tr>
      <w:tr w:rsidR="00AF4283" w:rsidRPr="009A6F08" w14:paraId="13E996DF"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3DFAEADD" w14:textId="77777777" w:rsidR="00AF4283" w:rsidRPr="009A6F08" w:rsidRDefault="00AF4283" w:rsidP="00F721B7">
            <w:pPr>
              <w:ind w:left="744"/>
              <w:rPr>
                <w:rFonts w:cs="Arial"/>
                <w:sz w:val="22"/>
                <w:szCs w:val="22"/>
                <w:lang w:val="en-US"/>
              </w:rPr>
            </w:pPr>
            <w:r w:rsidRPr="009A6F08">
              <w:rPr>
                <w:rFonts w:cs="Arial"/>
                <w:sz w:val="22"/>
                <w:szCs w:val="22"/>
                <w:lang w:val="en-US"/>
              </w:rPr>
              <w:t>Cheese</w:t>
            </w:r>
          </w:p>
        </w:tc>
        <w:tc>
          <w:tcPr>
            <w:tcW w:w="1342" w:type="dxa"/>
          </w:tcPr>
          <w:p w14:paraId="5E10E5AB"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–1.2</w:t>
            </w:r>
          </w:p>
        </w:tc>
        <w:tc>
          <w:tcPr>
            <w:tcW w:w="1342" w:type="dxa"/>
          </w:tcPr>
          <w:p w14:paraId="4947B29A"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1.2</w:t>
            </w:r>
          </w:p>
        </w:tc>
        <w:tc>
          <w:tcPr>
            <w:tcW w:w="1342" w:type="dxa"/>
          </w:tcPr>
          <w:p w14:paraId="5E9BA3D9"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w:t>
            </w:r>
          </w:p>
        </w:tc>
      </w:tr>
      <w:tr w:rsidR="00AF4283" w:rsidRPr="009A6F08" w14:paraId="47447C0A"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034DB717" w14:textId="77777777" w:rsidR="00AF4283" w:rsidRPr="009A6F08" w:rsidRDefault="00AF4283" w:rsidP="00F721B7">
            <w:pPr>
              <w:ind w:left="744"/>
              <w:rPr>
                <w:rFonts w:cs="Arial"/>
                <w:sz w:val="22"/>
                <w:szCs w:val="22"/>
                <w:lang w:val="en-US"/>
              </w:rPr>
            </w:pPr>
            <w:r w:rsidRPr="009A6F08">
              <w:rPr>
                <w:rFonts w:cs="Arial"/>
                <w:sz w:val="22"/>
                <w:szCs w:val="22"/>
                <w:lang w:val="en-US"/>
              </w:rPr>
              <w:t>Yoghurt</w:t>
            </w:r>
          </w:p>
        </w:tc>
        <w:tc>
          <w:tcPr>
            <w:tcW w:w="1342" w:type="dxa"/>
          </w:tcPr>
          <w:p w14:paraId="5775AB2C"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58348B34"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72CD4106" w14:textId="77777777" w:rsidR="00AF4283" w:rsidRPr="009A6F08" w:rsidRDefault="00AF4283" w:rsidP="00F721B7">
            <w:pPr>
              <w:ind w:left="-1184" w:right="325"/>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w:t>
            </w:r>
          </w:p>
        </w:tc>
      </w:tr>
      <w:tr w:rsidR="00AF4283" w:rsidRPr="009A6F08" w14:paraId="265CC945"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29576506" w14:textId="77777777" w:rsidR="00AF4283" w:rsidRPr="009A6F08" w:rsidRDefault="00AF4283" w:rsidP="00F721B7">
            <w:pPr>
              <w:rPr>
                <w:rFonts w:cs="Arial"/>
                <w:sz w:val="22"/>
                <w:szCs w:val="22"/>
                <w:lang w:val="en-US"/>
              </w:rPr>
            </w:pPr>
          </w:p>
        </w:tc>
        <w:tc>
          <w:tcPr>
            <w:tcW w:w="1342" w:type="dxa"/>
          </w:tcPr>
          <w:p w14:paraId="18CB6568"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4DFE1289"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2719DDC0"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AF4283" w:rsidRPr="009A6F08" w14:paraId="792EC022" w14:textId="77777777" w:rsidTr="00F721B7">
        <w:tc>
          <w:tcPr>
            <w:cnfStyle w:val="001000000000" w:firstRow="0" w:lastRow="0" w:firstColumn="1" w:lastColumn="0" w:oddVBand="0" w:evenVBand="0" w:oddHBand="0" w:evenHBand="0" w:firstRowFirstColumn="0" w:firstRowLastColumn="0" w:lastRowFirstColumn="0" w:lastRowLastColumn="0"/>
            <w:tcW w:w="8505" w:type="dxa"/>
            <w:gridSpan w:val="4"/>
          </w:tcPr>
          <w:p w14:paraId="50A23096" w14:textId="77777777" w:rsidR="00AF4283" w:rsidRPr="009A6F08" w:rsidRDefault="00AF4283" w:rsidP="00F721B7">
            <w:pPr>
              <w:ind w:left="319"/>
              <w:rPr>
                <w:rFonts w:cs="Arial"/>
                <w:sz w:val="22"/>
                <w:szCs w:val="22"/>
                <w:lang w:val="en-US"/>
              </w:rPr>
            </w:pPr>
            <w:r w:rsidRPr="009A6F08">
              <w:rPr>
                <w:rFonts w:cs="Arial"/>
                <w:sz w:val="22"/>
                <w:szCs w:val="22"/>
                <w:lang w:val="en-US"/>
              </w:rPr>
              <w:t>Contribution to change in product-</w:t>
            </w:r>
            <w:proofErr w:type="gramStart"/>
            <w:r w:rsidRPr="009A6F08">
              <w:rPr>
                <w:rFonts w:cs="Arial"/>
                <w:sz w:val="22"/>
                <w:szCs w:val="22"/>
                <w:lang w:val="en-US"/>
              </w:rPr>
              <w:t>specific  purchasing</w:t>
            </w:r>
            <w:proofErr w:type="gramEnd"/>
            <w:r w:rsidRPr="009A6F08">
              <w:rPr>
                <w:rFonts w:cs="Arial"/>
                <w:sz w:val="22"/>
                <w:szCs w:val="22"/>
                <w:lang w:val="en-US"/>
              </w:rPr>
              <w:t xml:space="preserve"> power (%)</w:t>
            </w:r>
            <w:r w:rsidRPr="009A6F08">
              <w:rPr>
                <w:rFonts w:cs="Arial"/>
                <w:i/>
                <w:sz w:val="22"/>
                <w:szCs w:val="22"/>
                <w:vertAlign w:val="superscript"/>
                <w:lang w:val="en-US"/>
              </w:rPr>
              <w:t>d</w:t>
            </w:r>
          </w:p>
        </w:tc>
      </w:tr>
      <w:tr w:rsidR="00AF4283" w:rsidRPr="009A6F08" w14:paraId="1CD62158"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118DC9CC" w14:textId="77777777" w:rsidR="00AF4283" w:rsidRPr="009A6F08" w:rsidRDefault="00AF4283" w:rsidP="00F721B7">
            <w:pPr>
              <w:ind w:left="744"/>
              <w:rPr>
                <w:rFonts w:cs="Arial"/>
                <w:sz w:val="22"/>
                <w:szCs w:val="22"/>
                <w:lang w:val="en-US"/>
              </w:rPr>
            </w:pPr>
            <w:r w:rsidRPr="009A6F08">
              <w:rPr>
                <w:rFonts w:cs="Arial"/>
                <w:sz w:val="22"/>
                <w:szCs w:val="22"/>
                <w:lang w:val="en-US"/>
              </w:rPr>
              <w:t>Liquid milk</w:t>
            </w:r>
          </w:p>
        </w:tc>
        <w:tc>
          <w:tcPr>
            <w:tcW w:w="1342" w:type="dxa"/>
          </w:tcPr>
          <w:p w14:paraId="07834AE3"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52DCADA5"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76FE8235"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AF4283" w:rsidRPr="009A6F08" w14:paraId="6824D3F3"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5DC9EAA2" w14:textId="77777777" w:rsidR="00AF4283" w:rsidRPr="009A6F08" w:rsidRDefault="00AF4283" w:rsidP="00F721B7">
            <w:pPr>
              <w:ind w:left="1169"/>
              <w:rPr>
                <w:rFonts w:cs="Arial"/>
                <w:sz w:val="22"/>
                <w:szCs w:val="22"/>
                <w:lang w:val="en-US"/>
              </w:rPr>
            </w:pPr>
            <w:r w:rsidRPr="009A6F08">
              <w:rPr>
                <w:rFonts w:cs="Arial"/>
                <w:sz w:val="22"/>
                <w:szCs w:val="22"/>
                <w:lang w:val="en-US"/>
              </w:rPr>
              <w:t>Income</w:t>
            </w:r>
          </w:p>
        </w:tc>
        <w:tc>
          <w:tcPr>
            <w:tcW w:w="1342" w:type="dxa"/>
          </w:tcPr>
          <w:p w14:paraId="263B3580"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101</w:t>
            </w:r>
          </w:p>
        </w:tc>
        <w:tc>
          <w:tcPr>
            <w:tcW w:w="1342" w:type="dxa"/>
          </w:tcPr>
          <w:p w14:paraId="48803183"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30</w:t>
            </w:r>
          </w:p>
        </w:tc>
        <w:tc>
          <w:tcPr>
            <w:tcW w:w="1342" w:type="dxa"/>
          </w:tcPr>
          <w:p w14:paraId="78F84966"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79</w:t>
            </w:r>
          </w:p>
        </w:tc>
      </w:tr>
      <w:tr w:rsidR="00AF4283" w:rsidRPr="009A6F08" w14:paraId="46C0145D"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67E401E4" w14:textId="77777777" w:rsidR="00AF4283" w:rsidRPr="009A6F08" w:rsidRDefault="00AF4283" w:rsidP="00F721B7">
            <w:pPr>
              <w:ind w:left="1169"/>
              <w:rPr>
                <w:rFonts w:cs="Arial"/>
                <w:sz w:val="22"/>
                <w:szCs w:val="22"/>
                <w:lang w:val="en-US"/>
              </w:rPr>
            </w:pPr>
            <w:r w:rsidRPr="009A6F08">
              <w:rPr>
                <w:rFonts w:cs="Arial"/>
                <w:sz w:val="22"/>
                <w:szCs w:val="22"/>
                <w:lang w:val="en-US"/>
              </w:rPr>
              <w:t>Price</w:t>
            </w:r>
          </w:p>
        </w:tc>
        <w:tc>
          <w:tcPr>
            <w:tcW w:w="1342" w:type="dxa"/>
          </w:tcPr>
          <w:p w14:paraId="31298842"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w:t>
            </w:r>
          </w:p>
        </w:tc>
        <w:tc>
          <w:tcPr>
            <w:tcW w:w="1342" w:type="dxa"/>
          </w:tcPr>
          <w:p w14:paraId="215D0C31"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70</w:t>
            </w:r>
          </w:p>
        </w:tc>
        <w:tc>
          <w:tcPr>
            <w:tcW w:w="1342" w:type="dxa"/>
          </w:tcPr>
          <w:p w14:paraId="09A980D5"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21</w:t>
            </w:r>
          </w:p>
        </w:tc>
      </w:tr>
      <w:tr w:rsidR="00AF4283" w:rsidRPr="009A6F08" w14:paraId="6FCEC2D9"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51DA1B56" w14:textId="77777777" w:rsidR="00AF4283" w:rsidRPr="009A6F08" w:rsidRDefault="00AF4283" w:rsidP="00F721B7">
            <w:pPr>
              <w:ind w:left="744"/>
              <w:rPr>
                <w:rFonts w:cs="Arial"/>
                <w:sz w:val="22"/>
                <w:szCs w:val="22"/>
                <w:lang w:val="en-US"/>
              </w:rPr>
            </w:pPr>
            <w:r w:rsidRPr="009A6F08">
              <w:rPr>
                <w:rFonts w:cs="Arial"/>
                <w:sz w:val="22"/>
                <w:szCs w:val="22"/>
                <w:lang w:val="en-US"/>
              </w:rPr>
              <w:t>Cheese</w:t>
            </w:r>
          </w:p>
        </w:tc>
        <w:tc>
          <w:tcPr>
            <w:tcW w:w="1342" w:type="dxa"/>
          </w:tcPr>
          <w:p w14:paraId="37578D22"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34CE117E"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6081D4D4"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AF4283" w:rsidRPr="009A6F08" w14:paraId="30F97714"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6A15E602" w14:textId="77777777" w:rsidR="00AF4283" w:rsidRPr="009A6F08" w:rsidRDefault="00AF4283" w:rsidP="00F721B7">
            <w:pPr>
              <w:ind w:left="1169"/>
              <w:rPr>
                <w:rFonts w:cs="Arial"/>
                <w:sz w:val="22"/>
                <w:szCs w:val="22"/>
                <w:lang w:val="en-US"/>
              </w:rPr>
            </w:pPr>
            <w:r w:rsidRPr="009A6F08">
              <w:rPr>
                <w:rFonts w:cs="Arial"/>
                <w:sz w:val="22"/>
                <w:szCs w:val="22"/>
                <w:lang w:val="en-US"/>
              </w:rPr>
              <w:t>Income</w:t>
            </w:r>
          </w:p>
        </w:tc>
        <w:tc>
          <w:tcPr>
            <w:tcW w:w="1342" w:type="dxa"/>
          </w:tcPr>
          <w:p w14:paraId="6525B936"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82</w:t>
            </w:r>
          </w:p>
        </w:tc>
        <w:tc>
          <w:tcPr>
            <w:tcW w:w="1342" w:type="dxa"/>
          </w:tcPr>
          <w:p w14:paraId="733F2854"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503</w:t>
            </w:r>
          </w:p>
        </w:tc>
        <w:tc>
          <w:tcPr>
            <w:tcW w:w="1342" w:type="dxa"/>
          </w:tcPr>
          <w:p w14:paraId="58FB04F1"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56</w:t>
            </w:r>
          </w:p>
        </w:tc>
      </w:tr>
      <w:tr w:rsidR="00AF4283" w:rsidRPr="009A6F08" w14:paraId="4DB0FFE1"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6D5A18D3" w14:textId="77777777" w:rsidR="00AF4283" w:rsidRPr="009A6F08" w:rsidRDefault="00AF4283" w:rsidP="00F721B7">
            <w:pPr>
              <w:ind w:left="1169"/>
              <w:rPr>
                <w:rFonts w:cs="Arial"/>
                <w:sz w:val="22"/>
                <w:szCs w:val="22"/>
                <w:lang w:val="en-US"/>
              </w:rPr>
            </w:pPr>
            <w:r w:rsidRPr="009A6F08">
              <w:rPr>
                <w:rFonts w:cs="Arial"/>
                <w:sz w:val="22"/>
                <w:szCs w:val="22"/>
                <w:lang w:val="en-US"/>
              </w:rPr>
              <w:t>Price</w:t>
            </w:r>
          </w:p>
        </w:tc>
        <w:tc>
          <w:tcPr>
            <w:tcW w:w="1342" w:type="dxa"/>
          </w:tcPr>
          <w:p w14:paraId="34773955"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18</w:t>
            </w:r>
          </w:p>
        </w:tc>
        <w:tc>
          <w:tcPr>
            <w:tcW w:w="1342" w:type="dxa"/>
          </w:tcPr>
          <w:p w14:paraId="5CDF5442"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–403</w:t>
            </w:r>
          </w:p>
        </w:tc>
        <w:tc>
          <w:tcPr>
            <w:tcW w:w="1342" w:type="dxa"/>
          </w:tcPr>
          <w:p w14:paraId="7EB054C5"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44</w:t>
            </w:r>
          </w:p>
        </w:tc>
      </w:tr>
      <w:tr w:rsidR="00AF4283" w:rsidRPr="009A6F08" w14:paraId="283B041B"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1A552D63" w14:textId="77777777" w:rsidR="00AF4283" w:rsidRPr="009A6F08" w:rsidRDefault="00AF4283" w:rsidP="00F721B7">
            <w:pPr>
              <w:ind w:left="744"/>
              <w:rPr>
                <w:rFonts w:cs="Arial"/>
                <w:sz w:val="22"/>
                <w:szCs w:val="22"/>
                <w:lang w:val="en-US"/>
              </w:rPr>
            </w:pPr>
            <w:r w:rsidRPr="009A6F08">
              <w:rPr>
                <w:rFonts w:cs="Arial"/>
                <w:sz w:val="22"/>
                <w:szCs w:val="22"/>
                <w:lang w:val="en-US"/>
              </w:rPr>
              <w:t>Yoghurt</w:t>
            </w:r>
          </w:p>
        </w:tc>
        <w:tc>
          <w:tcPr>
            <w:tcW w:w="1342" w:type="dxa"/>
          </w:tcPr>
          <w:p w14:paraId="50BAEFDA"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2E906393"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7448CF06"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AF4283" w:rsidRPr="009A6F08" w14:paraId="370DDE74"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7B193B13" w14:textId="77777777" w:rsidR="00AF4283" w:rsidRPr="009A6F08" w:rsidRDefault="00AF4283" w:rsidP="00F721B7">
            <w:pPr>
              <w:ind w:left="1169"/>
              <w:rPr>
                <w:rFonts w:cs="Arial"/>
                <w:sz w:val="22"/>
                <w:szCs w:val="22"/>
                <w:lang w:val="en-US"/>
              </w:rPr>
            </w:pPr>
            <w:r w:rsidRPr="009A6F08">
              <w:rPr>
                <w:rFonts w:cs="Arial"/>
                <w:sz w:val="22"/>
                <w:szCs w:val="22"/>
                <w:lang w:val="en-US"/>
              </w:rPr>
              <w:t>Income</w:t>
            </w:r>
          </w:p>
        </w:tc>
        <w:tc>
          <w:tcPr>
            <w:tcW w:w="1342" w:type="dxa"/>
          </w:tcPr>
          <w:p w14:paraId="11FC3BBF"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148CBAF9"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75ED98DA"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56</w:t>
            </w:r>
          </w:p>
        </w:tc>
      </w:tr>
      <w:tr w:rsidR="00AF4283" w:rsidRPr="009A6F08" w14:paraId="59CDF9FA"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2A1BDA57" w14:textId="77777777" w:rsidR="00AF4283" w:rsidRPr="009A6F08" w:rsidRDefault="00AF4283" w:rsidP="00F721B7">
            <w:pPr>
              <w:ind w:left="1169"/>
              <w:rPr>
                <w:rFonts w:cs="Arial"/>
                <w:sz w:val="22"/>
                <w:szCs w:val="22"/>
                <w:lang w:val="en-US"/>
              </w:rPr>
            </w:pPr>
            <w:r w:rsidRPr="009A6F08">
              <w:rPr>
                <w:rFonts w:cs="Arial"/>
                <w:sz w:val="22"/>
                <w:szCs w:val="22"/>
                <w:lang w:val="en-US"/>
              </w:rPr>
              <w:t>Price</w:t>
            </w:r>
          </w:p>
        </w:tc>
        <w:tc>
          <w:tcPr>
            <w:tcW w:w="1342" w:type="dxa"/>
          </w:tcPr>
          <w:p w14:paraId="0993F90D"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0CC6191B"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26BDC8D2" w14:textId="77777777" w:rsidR="00AF4283" w:rsidRPr="009A6F08" w:rsidRDefault="00AF4283" w:rsidP="00F721B7">
            <w:pPr>
              <w:ind w:left="-758" w:right="46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44</w:t>
            </w:r>
          </w:p>
        </w:tc>
      </w:tr>
      <w:tr w:rsidR="00AF4283" w:rsidRPr="009A6F08" w14:paraId="175E3BBF" w14:textId="77777777" w:rsidTr="00F721B7">
        <w:tc>
          <w:tcPr>
            <w:cnfStyle w:val="001000000000" w:firstRow="0" w:lastRow="0" w:firstColumn="1" w:lastColumn="0" w:oddVBand="0" w:evenVBand="0" w:oddHBand="0" w:evenHBand="0" w:firstRowFirstColumn="0" w:firstRowLastColumn="0" w:lastRowFirstColumn="0" w:lastRowLastColumn="0"/>
            <w:tcW w:w="4479" w:type="dxa"/>
          </w:tcPr>
          <w:p w14:paraId="4DFBD5EB" w14:textId="77777777" w:rsidR="00AF4283" w:rsidRPr="009A6F08" w:rsidRDefault="00AF4283" w:rsidP="00F721B7">
            <w:pPr>
              <w:rPr>
                <w:rFonts w:cs="Arial"/>
                <w:sz w:val="22"/>
                <w:szCs w:val="22"/>
                <w:lang w:val="en-US"/>
              </w:rPr>
            </w:pPr>
          </w:p>
        </w:tc>
        <w:tc>
          <w:tcPr>
            <w:tcW w:w="1342" w:type="dxa"/>
          </w:tcPr>
          <w:p w14:paraId="514A7A00"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313745D7"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342" w:type="dxa"/>
          </w:tcPr>
          <w:p w14:paraId="307F1BE7" w14:textId="77777777" w:rsidR="00AF4283" w:rsidRPr="009A6F08" w:rsidRDefault="00AF4283"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bl>
    <w:p w14:paraId="1526C52A" w14:textId="77777777" w:rsidR="00AF4283" w:rsidRPr="009A6F08" w:rsidRDefault="00AF4283" w:rsidP="00AF4283">
      <w:pPr>
        <w:spacing w:line="240" w:lineRule="auto"/>
        <w:jc w:val="left"/>
        <w:rPr>
          <w:rFonts w:cs="Arial"/>
          <w:b/>
          <w:sz w:val="20"/>
          <w:szCs w:val="20"/>
          <w:lang w:val="en-US"/>
        </w:rPr>
      </w:pPr>
    </w:p>
    <w:p w14:paraId="0B668745" w14:textId="77777777" w:rsidR="00AF4283" w:rsidRPr="009A6F08" w:rsidRDefault="00AF4283" w:rsidP="00AF4283">
      <w:pPr>
        <w:spacing w:line="240" w:lineRule="auto"/>
        <w:ind w:left="709" w:hanging="709"/>
        <w:rPr>
          <w:rFonts w:cs="Arial"/>
          <w:sz w:val="20"/>
          <w:szCs w:val="20"/>
          <w:lang w:val="en-US"/>
        </w:rPr>
      </w:pPr>
      <w:r w:rsidRPr="009A6F08">
        <w:rPr>
          <w:rFonts w:cs="Arial"/>
          <w:i/>
          <w:sz w:val="20"/>
          <w:szCs w:val="20"/>
          <w:lang w:val="en-GB"/>
        </w:rPr>
        <w:t xml:space="preserve">Notes: </w:t>
      </w:r>
      <w:r w:rsidRPr="009A6F08">
        <w:rPr>
          <w:rFonts w:cs="Arial"/>
          <w:i/>
          <w:sz w:val="20"/>
          <w:szCs w:val="20"/>
          <w:vertAlign w:val="superscript"/>
          <w:lang w:val="en-GB"/>
        </w:rPr>
        <w:t>a</w:t>
      </w:r>
      <w:r w:rsidRPr="009A6F08">
        <w:rPr>
          <w:rFonts w:cs="Arial"/>
          <w:sz w:val="20"/>
          <w:szCs w:val="20"/>
          <w:lang w:val="en-GB"/>
        </w:rPr>
        <w:t xml:space="preserve"> </w:t>
      </w:r>
      <w:r w:rsidRPr="009A6F08">
        <w:rPr>
          <w:rFonts w:cs="Arial"/>
          <w:i/>
          <w:sz w:val="20"/>
          <w:szCs w:val="20"/>
          <w:lang w:val="en-GB"/>
        </w:rPr>
        <w:t>(Y</w:t>
      </w:r>
      <w:r w:rsidRPr="009A6F08">
        <w:rPr>
          <w:rFonts w:cs="Arial"/>
          <w:sz w:val="20"/>
          <w:szCs w:val="20"/>
          <w:lang w:val="en-US"/>
        </w:rPr>
        <w:t>–</w:t>
      </w:r>
      <w:r w:rsidRPr="009A6F08">
        <w:rPr>
          <w:rFonts w:cs="Arial"/>
          <w:i/>
          <w:sz w:val="20"/>
          <w:szCs w:val="20"/>
          <w:lang w:val="en-US"/>
        </w:rPr>
        <w:t>P)</w:t>
      </w:r>
      <w:r w:rsidRPr="009A6F08">
        <w:rPr>
          <w:rFonts w:cs="Arial"/>
          <w:sz w:val="20"/>
          <w:szCs w:val="20"/>
          <w:lang w:val="en-US"/>
        </w:rPr>
        <w:t xml:space="preserve">, where </w:t>
      </w:r>
      <w:r w:rsidRPr="009A6F08">
        <w:rPr>
          <w:rFonts w:cs="Arial"/>
          <w:i/>
          <w:sz w:val="20"/>
          <w:szCs w:val="20"/>
          <w:lang w:val="en-US"/>
        </w:rPr>
        <w:t xml:space="preserve">Y </w:t>
      </w:r>
      <w:r w:rsidRPr="009A6F08">
        <w:rPr>
          <w:rFonts w:cs="Arial"/>
          <w:sz w:val="20"/>
          <w:szCs w:val="20"/>
          <w:lang w:val="en-US"/>
        </w:rPr>
        <w:t xml:space="preserve">is the annual compound rate of change in income and </w:t>
      </w:r>
      <w:r w:rsidRPr="009A6F08">
        <w:rPr>
          <w:rFonts w:cs="Arial"/>
          <w:i/>
          <w:sz w:val="20"/>
          <w:szCs w:val="20"/>
          <w:lang w:val="en-US"/>
        </w:rPr>
        <w:t>P</w:t>
      </w:r>
      <w:r w:rsidRPr="009A6F08">
        <w:rPr>
          <w:rFonts w:cs="Arial"/>
          <w:sz w:val="20"/>
          <w:szCs w:val="20"/>
          <w:lang w:val="en-US"/>
        </w:rPr>
        <w:t xml:space="preserve"> is the annual compound rate of change in the relative price of each dairy product; </w:t>
      </w:r>
      <w:r w:rsidRPr="009A6F08">
        <w:rPr>
          <w:rFonts w:cs="Arial"/>
          <w:i/>
          <w:sz w:val="20"/>
          <w:szCs w:val="20"/>
          <w:vertAlign w:val="superscript"/>
          <w:lang w:val="en-GB"/>
        </w:rPr>
        <w:t>b</w:t>
      </w:r>
      <w:r w:rsidRPr="009A6F08">
        <w:rPr>
          <w:rFonts w:cs="Arial"/>
          <w:sz w:val="20"/>
          <w:szCs w:val="20"/>
          <w:lang w:val="en-GB"/>
        </w:rPr>
        <w:t xml:space="preserve"> Annual compound rate of change in household income per adult equivalent (Luxemburg scale); </w:t>
      </w:r>
      <w:r w:rsidRPr="009A6F08">
        <w:rPr>
          <w:rFonts w:cs="Arial"/>
          <w:i/>
          <w:sz w:val="20"/>
          <w:szCs w:val="20"/>
          <w:vertAlign w:val="superscript"/>
          <w:lang w:val="en-GB"/>
        </w:rPr>
        <w:t>c</w:t>
      </w:r>
      <w:r w:rsidRPr="009A6F08">
        <w:rPr>
          <w:rFonts w:cs="Arial"/>
          <w:sz w:val="20"/>
          <w:szCs w:val="20"/>
          <w:lang w:val="en-GB"/>
        </w:rPr>
        <w:t xml:space="preserve"> Annual compound rate of change in the average of provincial prices deflated by the general price index and weighted by population; </w:t>
      </w:r>
      <w:r w:rsidRPr="009A6F08">
        <w:rPr>
          <w:rFonts w:cs="Arial"/>
          <w:i/>
          <w:sz w:val="20"/>
          <w:szCs w:val="20"/>
          <w:vertAlign w:val="superscript"/>
          <w:lang w:val="en-GB"/>
        </w:rPr>
        <w:t>d</w:t>
      </w:r>
      <w:r w:rsidRPr="009A6F08">
        <w:rPr>
          <w:rFonts w:cs="Arial"/>
          <w:sz w:val="20"/>
          <w:szCs w:val="20"/>
          <w:lang w:val="en-GB"/>
        </w:rPr>
        <w:t xml:space="preserve"> The contribution of income change is measured as: </w:t>
      </w:r>
      <w:r w:rsidRPr="009A6F08">
        <w:rPr>
          <w:rFonts w:cs="Arial"/>
          <w:i/>
          <w:sz w:val="20"/>
          <w:szCs w:val="20"/>
          <w:lang w:val="en-GB"/>
        </w:rPr>
        <w:t>Y</w:t>
      </w:r>
      <w:r w:rsidRPr="009A6F08">
        <w:rPr>
          <w:rFonts w:cs="Arial"/>
          <w:sz w:val="20"/>
          <w:szCs w:val="20"/>
          <w:lang w:val="en-GB"/>
        </w:rPr>
        <w:t xml:space="preserve"> / </w:t>
      </w:r>
      <w:r w:rsidRPr="009A6F08">
        <w:rPr>
          <w:rFonts w:cs="Arial"/>
          <w:i/>
          <w:sz w:val="20"/>
          <w:szCs w:val="20"/>
          <w:lang w:val="en-GB"/>
        </w:rPr>
        <w:t>(Y</w:t>
      </w:r>
      <w:r w:rsidRPr="009A6F08">
        <w:rPr>
          <w:rFonts w:cs="Arial"/>
          <w:sz w:val="20"/>
          <w:szCs w:val="20"/>
          <w:lang w:val="en-US"/>
        </w:rPr>
        <w:t>–</w:t>
      </w:r>
      <w:r w:rsidRPr="009A6F08">
        <w:rPr>
          <w:rFonts w:cs="Arial"/>
          <w:i/>
          <w:sz w:val="20"/>
          <w:szCs w:val="20"/>
          <w:lang w:val="en-US"/>
        </w:rPr>
        <w:t>P)</w:t>
      </w:r>
      <w:r w:rsidRPr="009A6F08">
        <w:rPr>
          <w:rFonts w:cs="Arial"/>
          <w:sz w:val="20"/>
          <w:szCs w:val="20"/>
          <w:lang w:val="en-US"/>
        </w:rPr>
        <w:t>; the contribution of price is: –</w:t>
      </w:r>
      <w:r w:rsidRPr="009A6F08">
        <w:rPr>
          <w:rFonts w:cs="Arial"/>
          <w:i/>
          <w:sz w:val="20"/>
          <w:szCs w:val="20"/>
          <w:lang w:val="en-US"/>
        </w:rPr>
        <w:t>P</w:t>
      </w:r>
      <w:r w:rsidRPr="009A6F08">
        <w:rPr>
          <w:rFonts w:cs="Arial"/>
          <w:i/>
          <w:sz w:val="20"/>
          <w:szCs w:val="20"/>
          <w:lang w:val="en-GB"/>
        </w:rPr>
        <w:t xml:space="preserve"> </w:t>
      </w:r>
      <w:r w:rsidRPr="009A6F08">
        <w:rPr>
          <w:rFonts w:cs="Arial"/>
          <w:sz w:val="20"/>
          <w:szCs w:val="20"/>
          <w:lang w:val="en-GB"/>
        </w:rPr>
        <w:t xml:space="preserve">/ </w:t>
      </w:r>
      <w:r w:rsidRPr="009A6F08">
        <w:rPr>
          <w:rFonts w:cs="Arial"/>
          <w:i/>
          <w:sz w:val="20"/>
          <w:szCs w:val="20"/>
          <w:lang w:val="en-GB"/>
        </w:rPr>
        <w:t>(Y</w:t>
      </w:r>
      <w:r w:rsidRPr="009A6F08">
        <w:rPr>
          <w:rFonts w:cs="Arial"/>
          <w:sz w:val="20"/>
          <w:szCs w:val="20"/>
          <w:lang w:val="en-US"/>
        </w:rPr>
        <w:t>–</w:t>
      </w:r>
      <w:r w:rsidRPr="009A6F08">
        <w:rPr>
          <w:rFonts w:cs="Arial"/>
          <w:i/>
          <w:sz w:val="20"/>
          <w:szCs w:val="20"/>
          <w:lang w:val="en-US"/>
        </w:rPr>
        <w:t>P).</w:t>
      </w:r>
    </w:p>
    <w:p w14:paraId="77601F94" w14:textId="77777777" w:rsidR="00AF4283" w:rsidRPr="009A6F08" w:rsidRDefault="00AF4283" w:rsidP="00AF4283">
      <w:pPr>
        <w:spacing w:line="240" w:lineRule="auto"/>
        <w:ind w:left="709" w:hanging="709"/>
        <w:rPr>
          <w:rFonts w:cs="Arial"/>
          <w:sz w:val="20"/>
          <w:szCs w:val="20"/>
          <w:lang w:val="en-US"/>
        </w:rPr>
      </w:pPr>
      <w:r w:rsidRPr="009A6F08">
        <w:rPr>
          <w:rFonts w:cs="Arial"/>
          <w:i/>
          <w:sz w:val="20"/>
          <w:szCs w:val="20"/>
        </w:rPr>
        <w:t xml:space="preserve">Source: </w:t>
      </w:r>
      <w:r w:rsidRPr="009A6F08">
        <w:rPr>
          <w:rFonts w:cs="Arial"/>
          <w:sz w:val="20"/>
          <w:szCs w:val="20"/>
        </w:rPr>
        <w:t xml:space="preserve">INE, </w:t>
      </w:r>
      <w:r w:rsidRPr="009A6F08">
        <w:rPr>
          <w:rFonts w:cs="Arial"/>
          <w:i/>
          <w:sz w:val="20"/>
          <w:szCs w:val="20"/>
        </w:rPr>
        <w:t>Encuesta de presupuestos familiares</w:t>
      </w:r>
      <w:r w:rsidRPr="009A6F08">
        <w:rPr>
          <w:rFonts w:cs="Arial"/>
          <w:sz w:val="20"/>
          <w:szCs w:val="20"/>
        </w:rPr>
        <w:t xml:space="preserve">. </w:t>
      </w:r>
      <w:r w:rsidRPr="009A6F08">
        <w:rPr>
          <w:rFonts w:cs="Arial"/>
          <w:sz w:val="20"/>
          <w:szCs w:val="20"/>
          <w:lang w:val="en-US"/>
        </w:rPr>
        <w:t>See main text for details.</w:t>
      </w:r>
    </w:p>
    <w:p w14:paraId="6F62E503" w14:textId="77777777" w:rsidR="00AC6569" w:rsidRPr="009A6F08" w:rsidRDefault="00AC6569" w:rsidP="00512F98">
      <w:pPr>
        <w:spacing w:line="240" w:lineRule="auto"/>
        <w:rPr>
          <w:rFonts w:cs="Arial"/>
          <w:sz w:val="20"/>
          <w:szCs w:val="20"/>
          <w:lang w:val="en-US"/>
        </w:rPr>
      </w:pPr>
    </w:p>
    <w:p w14:paraId="35818DA1" w14:textId="77777777" w:rsidR="00AF4283" w:rsidRPr="009A6F08" w:rsidRDefault="00AF4283" w:rsidP="00512F98">
      <w:pPr>
        <w:spacing w:line="240" w:lineRule="auto"/>
        <w:rPr>
          <w:rFonts w:cs="Arial"/>
          <w:sz w:val="20"/>
          <w:szCs w:val="20"/>
          <w:lang w:val="en-US"/>
        </w:rPr>
      </w:pPr>
    </w:p>
    <w:p w14:paraId="0EC74BF8" w14:textId="77777777" w:rsidR="00895305" w:rsidRPr="009A6F08" w:rsidRDefault="00895305">
      <w:pPr>
        <w:rPr>
          <w:rFonts w:cs="Arial"/>
          <w:b/>
          <w:sz w:val="22"/>
          <w:szCs w:val="22"/>
          <w:lang w:val="en-US"/>
        </w:rPr>
      </w:pPr>
      <w:r w:rsidRPr="009A6F08">
        <w:rPr>
          <w:rFonts w:cs="Arial"/>
          <w:b/>
          <w:sz w:val="22"/>
          <w:szCs w:val="22"/>
          <w:lang w:val="en-US"/>
        </w:rPr>
        <w:br w:type="page"/>
      </w:r>
    </w:p>
    <w:p w14:paraId="75A1DAB9" w14:textId="3F327BE1" w:rsidR="00895305" w:rsidRPr="009A6F08" w:rsidRDefault="00895305" w:rsidP="00895305">
      <w:pPr>
        <w:spacing w:line="240" w:lineRule="auto"/>
        <w:rPr>
          <w:rFonts w:cs="Arial"/>
          <w:sz w:val="22"/>
          <w:szCs w:val="22"/>
          <w:vertAlign w:val="superscript"/>
          <w:lang w:val="en-US"/>
        </w:rPr>
      </w:pPr>
      <w:r w:rsidRPr="009A6F08">
        <w:rPr>
          <w:rFonts w:cs="Arial"/>
          <w:b/>
          <w:sz w:val="22"/>
          <w:szCs w:val="22"/>
          <w:lang w:val="en-US"/>
        </w:rPr>
        <w:lastRenderedPageBreak/>
        <w:t xml:space="preserve">Table 4. </w:t>
      </w:r>
      <w:r w:rsidRPr="009A6F08">
        <w:rPr>
          <w:rFonts w:cs="Arial"/>
          <w:i/>
          <w:sz w:val="22"/>
          <w:szCs w:val="22"/>
          <w:lang w:val="en-US"/>
        </w:rPr>
        <w:t>Income contribution to growth in dairy-specific purchasing power (</w:t>
      </w:r>
      <w:proofErr w:type="gramStart"/>
      <w:r w:rsidRPr="009A6F08">
        <w:rPr>
          <w:rFonts w:cs="Arial"/>
          <w:i/>
          <w:sz w:val="22"/>
          <w:szCs w:val="22"/>
          <w:lang w:val="en-US"/>
        </w:rPr>
        <w:t>%)</w:t>
      </w:r>
      <w:r w:rsidRPr="009A6F08">
        <w:rPr>
          <w:rFonts w:cs="Arial"/>
          <w:sz w:val="22"/>
          <w:szCs w:val="22"/>
          <w:vertAlign w:val="superscript"/>
          <w:lang w:val="en-US"/>
        </w:rPr>
        <w:t>a</w:t>
      </w:r>
      <w:proofErr w:type="gramEnd"/>
    </w:p>
    <w:p w14:paraId="5D50F081" w14:textId="77777777" w:rsidR="00895305" w:rsidRPr="009A6F08" w:rsidRDefault="00895305" w:rsidP="00895305">
      <w:pPr>
        <w:spacing w:line="240" w:lineRule="auto"/>
        <w:jc w:val="center"/>
        <w:rPr>
          <w:rFonts w:cs="Arial"/>
          <w:b/>
          <w:sz w:val="22"/>
          <w:szCs w:val="22"/>
          <w:lang w:val="en-US"/>
        </w:rPr>
      </w:pPr>
    </w:p>
    <w:tbl>
      <w:tblPr>
        <w:tblStyle w:val="CJE"/>
        <w:tblW w:w="8505" w:type="dxa"/>
        <w:jc w:val="center"/>
        <w:tblLook w:val="04A0" w:firstRow="1" w:lastRow="0" w:firstColumn="1" w:lastColumn="0" w:noHBand="0" w:noVBand="1"/>
      </w:tblPr>
      <w:tblGrid>
        <w:gridCol w:w="3196"/>
        <w:gridCol w:w="1061"/>
        <w:gridCol w:w="1062"/>
        <w:gridCol w:w="1062"/>
        <w:gridCol w:w="1062"/>
        <w:gridCol w:w="1062"/>
      </w:tblGrid>
      <w:tr w:rsidR="00895305" w:rsidRPr="009A6F08" w14:paraId="3C6394CB" w14:textId="77777777" w:rsidTr="00F721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6" w:type="dxa"/>
          </w:tcPr>
          <w:p w14:paraId="05277B07" w14:textId="77777777" w:rsidR="00895305" w:rsidRPr="009A6F08" w:rsidRDefault="00895305" w:rsidP="00F721B7">
            <w:pPr>
              <w:jc w:val="left"/>
              <w:rPr>
                <w:rFonts w:cs="Arial"/>
                <w:sz w:val="22"/>
                <w:szCs w:val="22"/>
                <w:lang w:val="en-US"/>
              </w:rPr>
            </w:pPr>
          </w:p>
        </w:tc>
        <w:tc>
          <w:tcPr>
            <w:tcW w:w="2123" w:type="dxa"/>
            <w:gridSpan w:val="2"/>
          </w:tcPr>
          <w:p w14:paraId="56A7802D" w14:textId="77777777" w:rsidR="00895305" w:rsidRPr="009A6F08" w:rsidRDefault="0089530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Milk</w:t>
            </w:r>
          </w:p>
          <w:tbl>
            <w:tblPr>
              <w:tblStyle w:val="HistAgr"/>
              <w:tblW w:w="0" w:type="auto"/>
              <w:tblBorders>
                <w:top w:val="single" w:sz="4" w:space="0" w:color="000000" w:themeColor="text1"/>
                <w:bottom w:val="none" w:sz="0" w:space="0" w:color="auto"/>
              </w:tblBorders>
              <w:tblLook w:val="04A0" w:firstRow="1" w:lastRow="0" w:firstColumn="1" w:lastColumn="0" w:noHBand="0" w:noVBand="1"/>
            </w:tblPr>
            <w:tblGrid>
              <w:gridCol w:w="953"/>
              <w:gridCol w:w="954"/>
            </w:tblGrid>
            <w:tr w:rsidR="00895305" w:rsidRPr="009A6F08" w14:paraId="06910D49" w14:textId="77777777" w:rsidTr="00F72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ED26DF" w14:textId="77777777" w:rsidR="00895305" w:rsidRPr="009A6F08" w:rsidRDefault="00895305" w:rsidP="00F721B7">
                  <w:pPr>
                    <w:rPr>
                      <w:rFonts w:cs="Arial"/>
                      <w:sz w:val="22"/>
                      <w:szCs w:val="22"/>
                      <w:lang w:val="en-US"/>
                    </w:rPr>
                  </w:pPr>
                  <w:r w:rsidRPr="009A6F08">
                    <w:rPr>
                      <w:rFonts w:cs="Arial"/>
                      <w:sz w:val="22"/>
                      <w:szCs w:val="22"/>
                      <w:lang w:val="en-US"/>
                    </w:rPr>
                    <w:t>1964-1980</w:t>
                  </w:r>
                </w:p>
              </w:tc>
              <w:tc>
                <w:tcPr>
                  <w:tcW w:w="9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F921C4" w14:textId="77777777" w:rsidR="00895305" w:rsidRPr="009A6F08" w:rsidRDefault="0089530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1980-1990</w:t>
                  </w:r>
                </w:p>
              </w:tc>
            </w:tr>
          </w:tbl>
          <w:p w14:paraId="05B75C06" w14:textId="77777777" w:rsidR="00895305" w:rsidRPr="009A6F08" w:rsidRDefault="0089530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p>
        </w:tc>
        <w:tc>
          <w:tcPr>
            <w:tcW w:w="2124" w:type="dxa"/>
            <w:gridSpan w:val="2"/>
          </w:tcPr>
          <w:p w14:paraId="665215FD" w14:textId="77777777" w:rsidR="00895305" w:rsidRPr="009A6F08" w:rsidRDefault="0089530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Cheese</w:t>
            </w:r>
          </w:p>
          <w:tbl>
            <w:tblPr>
              <w:tblStyle w:val="HistAgr"/>
              <w:tblW w:w="0" w:type="auto"/>
              <w:tblBorders>
                <w:top w:val="single" w:sz="4" w:space="0" w:color="000000" w:themeColor="text1"/>
                <w:bottom w:val="none" w:sz="0" w:space="0" w:color="auto"/>
              </w:tblBorders>
              <w:tblLook w:val="04A0" w:firstRow="1" w:lastRow="0" w:firstColumn="1" w:lastColumn="0" w:noHBand="0" w:noVBand="1"/>
            </w:tblPr>
            <w:tblGrid>
              <w:gridCol w:w="953"/>
              <w:gridCol w:w="954"/>
            </w:tblGrid>
            <w:tr w:rsidR="00895305" w:rsidRPr="009A6F08" w14:paraId="42A6E429" w14:textId="77777777" w:rsidTr="00F72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227382" w14:textId="77777777" w:rsidR="00895305" w:rsidRPr="009A6F08" w:rsidRDefault="00895305" w:rsidP="00F721B7">
                  <w:pPr>
                    <w:rPr>
                      <w:rFonts w:cs="Arial"/>
                      <w:sz w:val="22"/>
                      <w:szCs w:val="22"/>
                      <w:lang w:val="en-US"/>
                    </w:rPr>
                  </w:pPr>
                  <w:r w:rsidRPr="009A6F08">
                    <w:rPr>
                      <w:rFonts w:cs="Arial"/>
                      <w:sz w:val="22"/>
                      <w:szCs w:val="22"/>
                      <w:lang w:val="en-US"/>
                    </w:rPr>
                    <w:t>1964-1980</w:t>
                  </w:r>
                </w:p>
              </w:tc>
              <w:tc>
                <w:tcPr>
                  <w:tcW w:w="9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B631F2" w14:textId="77777777" w:rsidR="00895305" w:rsidRPr="009A6F08" w:rsidRDefault="0089530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1980-1990</w:t>
                  </w:r>
                </w:p>
              </w:tc>
            </w:tr>
          </w:tbl>
          <w:p w14:paraId="178BCB2B" w14:textId="77777777" w:rsidR="00895305" w:rsidRPr="009A6F08" w:rsidRDefault="0089530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68FDF507" w14:textId="77777777" w:rsidR="00895305" w:rsidRPr="009A6F08" w:rsidRDefault="0089530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Yoghurt</w:t>
            </w:r>
          </w:p>
          <w:p w14:paraId="71AE0786" w14:textId="77777777" w:rsidR="00895305" w:rsidRPr="009A6F08" w:rsidRDefault="0089530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1980-1990</w:t>
            </w:r>
          </w:p>
        </w:tc>
      </w:tr>
      <w:tr w:rsidR="00895305" w:rsidRPr="009A6F08" w14:paraId="4577D07B"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535005FD" w14:textId="77777777" w:rsidR="00895305" w:rsidRPr="009A6F08" w:rsidRDefault="00895305" w:rsidP="00F721B7">
            <w:pPr>
              <w:rPr>
                <w:rFonts w:cs="Arial"/>
                <w:sz w:val="22"/>
                <w:szCs w:val="22"/>
                <w:lang w:val="en-US"/>
              </w:rPr>
            </w:pPr>
          </w:p>
        </w:tc>
        <w:tc>
          <w:tcPr>
            <w:tcW w:w="1061" w:type="dxa"/>
          </w:tcPr>
          <w:p w14:paraId="4002975F"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3E75F6E5"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4E8D91CC"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281F1A73"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4C46715D"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895305" w:rsidRPr="009A6F08" w14:paraId="6CFAC4E9"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2085D467" w14:textId="77777777" w:rsidR="00895305" w:rsidRPr="009A6F08" w:rsidRDefault="00895305" w:rsidP="00F721B7">
            <w:pPr>
              <w:ind w:left="142"/>
              <w:rPr>
                <w:rFonts w:cs="Arial"/>
                <w:i/>
                <w:sz w:val="22"/>
                <w:szCs w:val="22"/>
                <w:vertAlign w:val="superscript"/>
                <w:lang w:val="en-US"/>
              </w:rPr>
            </w:pPr>
            <w:r w:rsidRPr="009A6F08">
              <w:rPr>
                <w:rFonts w:cs="Arial"/>
                <w:sz w:val="22"/>
                <w:szCs w:val="22"/>
                <w:lang w:val="en-US"/>
              </w:rPr>
              <w:t>By income level</w:t>
            </w:r>
          </w:p>
        </w:tc>
        <w:tc>
          <w:tcPr>
            <w:tcW w:w="1061" w:type="dxa"/>
          </w:tcPr>
          <w:p w14:paraId="49324577"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289FBC1A"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12FFEB11"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7EE9B8CC"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67637134"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895305" w:rsidRPr="009A6F08" w14:paraId="1EF3C03F"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6B61037F" w14:textId="77777777" w:rsidR="00895305" w:rsidRPr="009A6F08" w:rsidRDefault="00895305" w:rsidP="00F721B7">
            <w:pPr>
              <w:ind w:left="602"/>
              <w:rPr>
                <w:rFonts w:cs="Arial"/>
                <w:sz w:val="22"/>
                <w:szCs w:val="22"/>
                <w:lang w:val="en-US"/>
              </w:rPr>
            </w:pPr>
            <w:r w:rsidRPr="009A6F08">
              <w:rPr>
                <w:rFonts w:cs="Arial"/>
                <w:sz w:val="22"/>
                <w:szCs w:val="22"/>
                <w:lang w:val="en-US"/>
              </w:rPr>
              <w:t>First quartile</w:t>
            </w:r>
          </w:p>
        </w:tc>
        <w:tc>
          <w:tcPr>
            <w:tcW w:w="1061" w:type="dxa"/>
          </w:tcPr>
          <w:p w14:paraId="03D00BDD"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85</w:t>
            </w:r>
          </w:p>
        </w:tc>
        <w:tc>
          <w:tcPr>
            <w:tcW w:w="1062" w:type="dxa"/>
          </w:tcPr>
          <w:p w14:paraId="5F63BFFA"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100</w:t>
            </w:r>
          </w:p>
        </w:tc>
        <w:tc>
          <w:tcPr>
            <w:tcW w:w="1062" w:type="dxa"/>
          </w:tcPr>
          <w:p w14:paraId="10C8B77C" w14:textId="77777777" w:rsidR="00895305" w:rsidRPr="009A6F08" w:rsidRDefault="00895305" w:rsidP="00F721B7">
            <w:pPr>
              <w:ind w:left="-609" w:right="31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86</w:t>
            </w:r>
          </w:p>
        </w:tc>
        <w:tc>
          <w:tcPr>
            <w:tcW w:w="1062" w:type="dxa"/>
          </w:tcPr>
          <w:p w14:paraId="7F33C578"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75</w:t>
            </w:r>
          </w:p>
        </w:tc>
        <w:tc>
          <w:tcPr>
            <w:tcW w:w="1062" w:type="dxa"/>
          </w:tcPr>
          <w:p w14:paraId="002B79FE" w14:textId="77777777" w:rsidR="00895305" w:rsidRPr="009A6F08" w:rsidRDefault="00895305" w:rsidP="00F721B7">
            <w:pPr>
              <w:ind w:left="-607" w:right="284"/>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69</w:t>
            </w:r>
          </w:p>
        </w:tc>
      </w:tr>
      <w:tr w:rsidR="00895305" w:rsidRPr="009A6F08" w14:paraId="4709B965"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0822E27F" w14:textId="77777777" w:rsidR="00895305" w:rsidRPr="009A6F08" w:rsidRDefault="00895305" w:rsidP="00F721B7">
            <w:pPr>
              <w:ind w:left="602"/>
              <w:rPr>
                <w:rFonts w:cs="Arial"/>
                <w:sz w:val="22"/>
                <w:szCs w:val="22"/>
                <w:lang w:val="en-US"/>
              </w:rPr>
            </w:pPr>
            <w:r w:rsidRPr="009A6F08">
              <w:rPr>
                <w:rFonts w:cs="Arial"/>
                <w:sz w:val="22"/>
                <w:szCs w:val="22"/>
                <w:lang w:val="en-US"/>
              </w:rPr>
              <w:t>Second quartile</w:t>
            </w:r>
          </w:p>
        </w:tc>
        <w:tc>
          <w:tcPr>
            <w:tcW w:w="1061" w:type="dxa"/>
          </w:tcPr>
          <w:p w14:paraId="3D57C714"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84</w:t>
            </w:r>
          </w:p>
        </w:tc>
        <w:tc>
          <w:tcPr>
            <w:tcW w:w="1062" w:type="dxa"/>
          </w:tcPr>
          <w:p w14:paraId="6B7D12CB"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84</w:t>
            </w:r>
          </w:p>
        </w:tc>
        <w:tc>
          <w:tcPr>
            <w:tcW w:w="1062" w:type="dxa"/>
          </w:tcPr>
          <w:p w14:paraId="3846EF5B" w14:textId="77777777" w:rsidR="00895305" w:rsidRPr="009A6F08" w:rsidRDefault="00895305" w:rsidP="00F721B7">
            <w:pPr>
              <w:ind w:left="-609" w:right="31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86</w:t>
            </w:r>
          </w:p>
        </w:tc>
        <w:tc>
          <w:tcPr>
            <w:tcW w:w="1062" w:type="dxa"/>
          </w:tcPr>
          <w:p w14:paraId="14594868"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63</w:t>
            </w:r>
          </w:p>
        </w:tc>
        <w:tc>
          <w:tcPr>
            <w:tcW w:w="1062" w:type="dxa"/>
          </w:tcPr>
          <w:p w14:paraId="403B8929" w14:textId="77777777" w:rsidR="00895305" w:rsidRPr="009A6F08" w:rsidRDefault="00895305" w:rsidP="00F721B7">
            <w:pPr>
              <w:ind w:left="-607" w:right="284"/>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62</w:t>
            </w:r>
          </w:p>
        </w:tc>
      </w:tr>
      <w:tr w:rsidR="00895305" w:rsidRPr="009A6F08" w14:paraId="34B10871"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5B1A26D0" w14:textId="77777777" w:rsidR="00895305" w:rsidRPr="009A6F08" w:rsidRDefault="00895305" w:rsidP="00F721B7">
            <w:pPr>
              <w:ind w:left="602"/>
              <w:rPr>
                <w:rFonts w:cs="Arial"/>
                <w:sz w:val="22"/>
                <w:szCs w:val="22"/>
                <w:lang w:val="en-US"/>
              </w:rPr>
            </w:pPr>
            <w:r w:rsidRPr="009A6F08">
              <w:rPr>
                <w:rFonts w:cs="Arial"/>
                <w:sz w:val="22"/>
                <w:szCs w:val="22"/>
                <w:lang w:val="en-US"/>
              </w:rPr>
              <w:t>Third quartile</w:t>
            </w:r>
          </w:p>
        </w:tc>
        <w:tc>
          <w:tcPr>
            <w:tcW w:w="1061" w:type="dxa"/>
          </w:tcPr>
          <w:p w14:paraId="154FF293"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86</w:t>
            </w:r>
          </w:p>
        </w:tc>
        <w:tc>
          <w:tcPr>
            <w:tcW w:w="1062" w:type="dxa"/>
          </w:tcPr>
          <w:p w14:paraId="3719B24B"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82</w:t>
            </w:r>
          </w:p>
        </w:tc>
        <w:tc>
          <w:tcPr>
            <w:tcW w:w="1062" w:type="dxa"/>
          </w:tcPr>
          <w:p w14:paraId="6FD9A642" w14:textId="77777777" w:rsidR="00895305" w:rsidRPr="009A6F08" w:rsidRDefault="00895305" w:rsidP="00F721B7">
            <w:pPr>
              <w:ind w:left="-609" w:right="31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97</w:t>
            </w:r>
          </w:p>
        </w:tc>
        <w:tc>
          <w:tcPr>
            <w:tcW w:w="1062" w:type="dxa"/>
          </w:tcPr>
          <w:p w14:paraId="0BCC28F7"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62</w:t>
            </w:r>
          </w:p>
        </w:tc>
        <w:tc>
          <w:tcPr>
            <w:tcW w:w="1062" w:type="dxa"/>
          </w:tcPr>
          <w:p w14:paraId="324C504B" w14:textId="77777777" w:rsidR="00895305" w:rsidRPr="009A6F08" w:rsidRDefault="00895305" w:rsidP="00F721B7">
            <w:pPr>
              <w:ind w:left="-607" w:right="284"/>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62</w:t>
            </w:r>
          </w:p>
        </w:tc>
      </w:tr>
      <w:tr w:rsidR="00895305" w:rsidRPr="009A6F08" w14:paraId="7C7CE6A8"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069D9D90" w14:textId="77777777" w:rsidR="00895305" w:rsidRPr="009A6F08" w:rsidRDefault="00895305" w:rsidP="00F721B7">
            <w:pPr>
              <w:ind w:left="602"/>
              <w:rPr>
                <w:rFonts w:cs="Arial"/>
                <w:sz w:val="22"/>
                <w:szCs w:val="22"/>
                <w:lang w:val="en-US"/>
              </w:rPr>
            </w:pPr>
            <w:r w:rsidRPr="009A6F08">
              <w:rPr>
                <w:rFonts w:cs="Arial"/>
                <w:sz w:val="22"/>
                <w:szCs w:val="22"/>
                <w:lang w:val="en-US"/>
              </w:rPr>
              <w:t>Fourth quartile</w:t>
            </w:r>
          </w:p>
        </w:tc>
        <w:tc>
          <w:tcPr>
            <w:tcW w:w="1061" w:type="dxa"/>
          </w:tcPr>
          <w:p w14:paraId="67B24DDD"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80</w:t>
            </w:r>
          </w:p>
        </w:tc>
        <w:tc>
          <w:tcPr>
            <w:tcW w:w="1062" w:type="dxa"/>
          </w:tcPr>
          <w:p w14:paraId="3E620C19"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76</w:t>
            </w:r>
          </w:p>
        </w:tc>
        <w:tc>
          <w:tcPr>
            <w:tcW w:w="1062" w:type="dxa"/>
          </w:tcPr>
          <w:p w14:paraId="5276FBBD" w14:textId="77777777" w:rsidR="00895305" w:rsidRPr="009A6F08" w:rsidRDefault="00895305" w:rsidP="00F721B7">
            <w:pPr>
              <w:ind w:left="-609" w:right="31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95</w:t>
            </w:r>
          </w:p>
        </w:tc>
        <w:tc>
          <w:tcPr>
            <w:tcW w:w="1062" w:type="dxa"/>
          </w:tcPr>
          <w:p w14:paraId="39A467A3"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61</w:t>
            </w:r>
          </w:p>
        </w:tc>
        <w:tc>
          <w:tcPr>
            <w:tcW w:w="1062" w:type="dxa"/>
          </w:tcPr>
          <w:p w14:paraId="7328BA38" w14:textId="77777777" w:rsidR="00895305" w:rsidRPr="009A6F08" w:rsidRDefault="00895305" w:rsidP="00F721B7">
            <w:pPr>
              <w:ind w:left="-607" w:right="284"/>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57</w:t>
            </w:r>
          </w:p>
        </w:tc>
      </w:tr>
      <w:tr w:rsidR="00895305" w:rsidRPr="009A6F08" w14:paraId="6CC56A40"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5EA9C606" w14:textId="77777777" w:rsidR="00895305" w:rsidRPr="009A6F08" w:rsidRDefault="00895305" w:rsidP="00F721B7">
            <w:pPr>
              <w:ind w:left="142"/>
              <w:rPr>
                <w:rFonts w:cs="Arial"/>
                <w:sz w:val="22"/>
                <w:szCs w:val="22"/>
                <w:lang w:val="en-US"/>
              </w:rPr>
            </w:pPr>
            <w:r w:rsidRPr="009A6F08">
              <w:rPr>
                <w:rFonts w:cs="Arial"/>
                <w:sz w:val="22"/>
                <w:szCs w:val="22"/>
                <w:lang w:val="en-US"/>
              </w:rPr>
              <w:t>By region</w:t>
            </w:r>
          </w:p>
        </w:tc>
        <w:tc>
          <w:tcPr>
            <w:tcW w:w="1061" w:type="dxa"/>
          </w:tcPr>
          <w:p w14:paraId="321EABEC" w14:textId="77777777" w:rsidR="00895305" w:rsidRPr="009A6F08" w:rsidRDefault="00895305" w:rsidP="00F721B7">
            <w:pPr>
              <w:ind w:right="320"/>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062" w:type="dxa"/>
          </w:tcPr>
          <w:p w14:paraId="5DB64B1C" w14:textId="77777777" w:rsidR="00895305" w:rsidRPr="009A6F08" w:rsidRDefault="00895305" w:rsidP="00F721B7">
            <w:pPr>
              <w:ind w:right="340"/>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062" w:type="dxa"/>
          </w:tcPr>
          <w:p w14:paraId="356C4ADD" w14:textId="77777777" w:rsidR="00895305" w:rsidRPr="009A6F08" w:rsidRDefault="00895305" w:rsidP="00F721B7">
            <w:pPr>
              <w:ind w:right="318"/>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062" w:type="dxa"/>
          </w:tcPr>
          <w:p w14:paraId="1680C406" w14:textId="77777777" w:rsidR="00895305" w:rsidRPr="009A6F08" w:rsidRDefault="00895305" w:rsidP="00F721B7">
            <w:pPr>
              <w:ind w:right="340"/>
              <w:cnfStyle w:val="000000000000" w:firstRow="0" w:lastRow="0" w:firstColumn="0" w:lastColumn="0" w:oddVBand="0" w:evenVBand="0" w:oddHBand="0" w:evenHBand="0" w:firstRowFirstColumn="0" w:firstRowLastColumn="0" w:lastRowFirstColumn="0" w:lastRowLastColumn="0"/>
              <w:rPr>
                <w:rFonts w:cs="Arial"/>
                <w:color w:val="000000"/>
                <w:sz w:val="22"/>
                <w:szCs w:val="22"/>
              </w:rPr>
            </w:pPr>
          </w:p>
        </w:tc>
        <w:tc>
          <w:tcPr>
            <w:tcW w:w="1062" w:type="dxa"/>
          </w:tcPr>
          <w:p w14:paraId="64ECD572" w14:textId="77777777" w:rsidR="00895305" w:rsidRPr="009A6F08" w:rsidRDefault="00895305" w:rsidP="00F721B7">
            <w:pPr>
              <w:ind w:left="-607" w:right="284"/>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895305" w:rsidRPr="009A6F08" w14:paraId="40AD3033"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6C8A1268" w14:textId="77777777" w:rsidR="00895305" w:rsidRPr="009A6F08" w:rsidRDefault="00895305" w:rsidP="00F721B7">
            <w:pPr>
              <w:ind w:left="142" w:firstLine="425"/>
              <w:rPr>
                <w:rFonts w:cs="Arial"/>
                <w:sz w:val="22"/>
                <w:szCs w:val="22"/>
                <w:lang w:val="en-US"/>
              </w:rPr>
            </w:pPr>
            <w:r w:rsidRPr="009A6F08">
              <w:rPr>
                <w:rFonts w:cs="Arial"/>
                <w:sz w:val="22"/>
                <w:szCs w:val="22"/>
                <w:lang w:val="en-US"/>
              </w:rPr>
              <w:t>North</w:t>
            </w:r>
          </w:p>
        </w:tc>
        <w:tc>
          <w:tcPr>
            <w:tcW w:w="1061" w:type="dxa"/>
          </w:tcPr>
          <w:p w14:paraId="07F1150C"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100</w:t>
            </w:r>
          </w:p>
        </w:tc>
        <w:tc>
          <w:tcPr>
            <w:tcW w:w="1062" w:type="dxa"/>
          </w:tcPr>
          <w:p w14:paraId="46C12B2D"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84</w:t>
            </w:r>
          </w:p>
        </w:tc>
        <w:tc>
          <w:tcPr>
            <w:tcW w:w="1062" w:type="dxa"/>
          </w:tcPr>
          <w:p w14:paraId="7BA23190" w14:textId="77777777" w:rsidR="00895305" w:rsidRPr="009A6F08" w:rsidRDefault="00895305" w:rsidP="00F721B7">
            <w:pPr>
              <w:ind w:left="-609" w:right="31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92</w:t>
            </w:r>
          </w:p>
        </w:tc>
        <w:tc>
          <w:tcPr>
            <w:tcW w:w="1062" w:type="dxa"/>
          </w:tcPr>
          <w:p w14:paraId="185467D0"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70</w:t>
            </w:r>
          </w:p>
        </w:tc>
        <w:tc>
          <w:tcPr>
            <w:tcW w:w="1062" w:type="dxa"/>
          </w:tcPr>
          <w:p w14:paraId="791F4BD5" w14:textId="77777777" w:rsidR="00895305" w:rsidRPr="009A6F08" w:rsidRDefault="00895305" w:rsidP="00F721B7">
            <w:pPr>
              <w:ind w:left="-607" w:right="284"/>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45</w:t>
            </w:r>
          </w:p>
        </w:tc>
      </w:tr>
      <w:tr w:rsidR="00895305" w:rsidRPr="009A6F08" w14:paraId="36D62073"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4F1EFE40" w14:textId="77777777" w:rsidR="00895305" w:rsidRPr="009A6F08" w:rsidRDefault="00895305" w:rsidP="00F721B7">
            <w:pPr>
              <w:ind w:left="142" w:firstLine="425"/>
              <w:rPr>
                <w:rFonts w:cs="Arial"/>
                <w:sz w:val="22"/>
                <w:szCs w:val="22"/>
                <w:lang w:val="en-US"/>
              </w:rPr>
            </w:pPr>
            <w:r w:rsidRPr="009A6F08">
              <w:rPr>
                <w:rFonts w:cs="Arial"/>
                <w:sz w:val="22"/>
                <w:szCs w:val="22"/>
                <w:lang w:val="en-US"/>
              </w:rPr>
              <w:t>Interior</w:t>
            </w:r>
          </w:p>
        </w:tc>
        <w:tc>
          <w:tcPr>
            <w:tcW w:w="1061" w:type="dxa"/>
          </w:tcPr>
          <w:p w14:paraId="730CC267"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90</w:t>
            </w:r>
          </w:p>
        </w:tc>
        <w:tc>
          <w:tcPr>
            <w:tcW w:w="1062" w:type="dxa"/>
          </w:tcPr>
          <w:p w14:paraId="4B8ACB80"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77</w:t>
            </w:r>
          </w:p>
        </w:tc>
        <w:tc>
          <w:tcPr>
            <w:tcW w:w="1062" w:type="dxa"/>
          </w:tcPr>
          <w:p w14:paraId="26ADBE80" w14:textId="77777777" w:rsidR="00895305" w:rsidRPr="009A6F08" w:rsidRDefault="00895305" w:rsidP="00F721B7">
            <w:pPr>
              <w:ind w:left="-609" w:right="31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103</w:t>
            </w:r>
          </w:p>
        </w:tc>
        <w:tc>
          <w:tcPr>
            <w:tcW w:w="1062" w:type="dxa"/>
          </w:tcPr>
          <w:p w14:paraId="7271F589"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55</w:t>
            </w:r>
          </w:p>
        </w:tc>
        <w:tc>
          <w:tcPr>
            <w:tcW w:w="1062" w:type="dxa"/>
          </w:tcPr>
          <w:p w14:paraId="18E57C16" w14:textId="77777777" w:rsidR="00895305" w:rsidRPr="009A6F08" w:rsidRDefault="00895305" w:rsidP="00F721B7">
            <w:pPr>
              <w:ind w:left="-607" w:right="284"/>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59</w:t>
            </w:r>
          </w:p>
        </w:tc>
      </w:tr>
      <w:tr w:rsidR="00895305" w:rsidRPr="009A6F08" w14:paraId="742E48B7"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4FA7A80E" w14:textId="77777777" w:rsidR="00895305" w:rsidRPr="009A6F08" w:rsidRDefault="00895305" w:rsidP="00F721B7">
            <w:pPr>
              <w:ind w:left="142" w:firstLine="425"/>
              <w:rPr>
                <w:rFonts w:cs="Arial"/>
                <w:sz w:val="22"/>
                <w:szCs w:val="22"/>
                <w:lang w:val="en-US"/>
              </w:rPr>
            </w:pPr>
            <w:r w:rsidRPr="009A6F08">
              <w:rPr>
                <w:rFonts w:cs="Arial"/>
                <w:sz w:val="22"/>
                <w:szCs w:val="22"/>
                <w:lang w:val="en-US"/>
              </w:rPr>
              <w:t>Mediterranean</w:t>
            </w:r>
          </w:p>
        </w:tc>
        <w:tc>
          <w:tcPr>
            <w:tcW w:w="1061" w:type="dxa"/>
          </w:tcPr>
          <w:p w14:paraId="6DE6F77A"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49</w:t>
            </w:r>
          </w:p>
        </w:tc>
        <w:tc>
          <w:tcPr>
            <w:tcW w:w="1062" w:type="dxa"/>
          </w:tcPr>
          <w:p w14:paraId="50B0EDB8"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69</w:t>
            </w:r>
          </w:p>
        </w:tc>
        <w:tc>
          <w:tcPr>
            <w:tcW w:w="1062" w:type="dxa"/>
          </w:tcPr>
          <w:p w14:paraId="2E9C82FD" w14:textId="77777777" w:rsidR="00895305" w:rsidRPr="009A6F08" w:rsidRDefault="00895305" w:rsidP="00F721B7">
            <w:pPr>
              <w:ind w:left="-609" w:right="31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91</w:t>
            </w:r>
          </w:p>
        </w:tc>
        <w:tc>
          <w:tcPr>
            <w:tcW w:w="1062" w:type="dxa"/>
          </w:tcPr>
          <w:p w14:paraId="4559E0E7"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53</w:t>
            </w:r>
          </w:p>
        </w:tc>
        <w:tc>
          <w:tcPr>
            <w:tcW w:w="1062" w:type="dxa"/>
          </w:tcPr>
          <w:p w14:paraId="2415D237" w14:textId="77777777" w:rsidR="00895305" w:rsidRPr="009A6F08" w:rsidRDefault="00895305" w:rsidP="00F721B7">
            <w:pPr>
              <w:ind w:left="-607" w:right="284"/>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58</w:t>
            </w:r>
          </w:p>
        </w:tc>
      </w:tr>
      <w:tr w:rsidR="00895305" w:rsidRPr="009A6F08" w14:paraId="3A176531"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2EA89249" w14:textId="77777777" w:rsidR="00895305" w:rsidRPr="009A6F08" w:rsidRDefault="00895305" w:rsidP="00F721B7">
            <w:pPr>
              <w:ind w:left="142" w:firstLine="425"/>
              <w:rPr>
                <w:rFonts w:cs="Arial"/>
                <w:sz w:val="22"/>
                <w:szCs w:val="22"/>
                <w:lang w:val="en-US"/>
              </w:rPr>
            </w:pPr>
            <w:r w:rsidRPr="009A6F08">
              <w:rPr>
                <w:rFonts w:cs="Arial"/>
                <w:sz w:val="22"/>
                <w:szCs w:val="22"/>
                <w:lang w:val="en-US"/>
              </w:rPr>
              <w:t>South</w:t>
            </w:r>
          </w:p>
        </w:tc>
        <w:tc>
          <w:tcPr>
            <w:tcW w:w="1061" w:type="dxa"/>
          </w:tcPr>
          <w:p w14:paraId="1400D376" w14:textId="77777777" w:rsidR="00895305" w:rsidRPr="009A6F08" w:rsidRDefault="00895305" w:rsidP="00F721B7">
            <w:pPr>
              <w:ind w:left="-609" w:right="32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69</w:t>
            </w:r>
          </w:p>
        </w:tc>
        <w:tc>
          <w:tcPr>
            <w:tcW w:w="1062" w:type="dxa"/>
          </w:tcPr>
          <w:p w14:paraId="7EBD20A4"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99</w:t>
            </w:r>
          </w:p>
        </w:tc>
        <w:tc>
          <w:tcPr>
            <w:tcW w:w="1062" w:type="dxa"/>
          </w:tcPr>
          <w:p w14:paraId="389A3E6C" w14:textId="77777777" w:rsidR="00895305" w:rsidRPr="009A6F08" w:rsidRDefault="00895305" w:rsidP="00F721B7">
            <w:pPr>
              <w:ind w:left="-609" w:right="31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106</w:t>
            </w:r>
          </w:p>
        </w:tc>
        <w:tc>
          <w:tcPr>
            <w:tcW w:w="1062" w:type="dxa"/>
          </w:tcPr>
          <w:p w14:paraId="10597F0B" w14:textId="77777777" w:rsidR="00895305" w:rsidRPr="009A6F08" w:rsidRDefault="00895305" w:rsidP="00F721B7">
            <w:pPr>
              <w:ind w:left="-609" w:right="34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57</w:t>
            </w:r>
          </w:p>
        </w:tc>
        <w:tc>
          <w:tcPr>
            <w:tcW w:w="1062" w:type="dxa"/>
          </w:tcPr>
          <w:p w14:paraId="546B7940" w14:textId="77777777" w:rsidR="00895305" w:rsidRPr="009A6F08" w:rsidRDefault="00895305" w:rsidP="00F721B7">
            <w:pPr>
              <w:ind w:left="-607" w:right="284"/>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57</w:t>
            </w:r>
          </w:p>
        </w:tc>
      </w:tr>
      <w:tr w:rsidR="00895305" w:rsidRPr="009A6F08" w14:paraId="0C208B38"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96" w:type="dxa"/>
          </w:tcPr>
          <w:p w14:paraId="2E91D395" w14:textId="77777777" w:rsidR="00895305" w:rsidRPr="009A6F08" w:rsidRDefault="00895305" w:rsidP="00F721B7">
            <w:pPr>
              <w:rPr>
                <w:rFonts w:cs="Arial"/>
                <w:sz w:val="22"/>
                <w:szCs w:val="22"/>
                <w:lang w:val="en-US"/>
              </w:rPr>
            </w:pPr>
          </w:p>
        </w:tc>
        <w:tc>
          <w:tcPr>
            <w:tcW w:w="1061" w:type="dxa"/>
          </w:tcPr>
          <w:p w14:paraId="2B6EB93F"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51C56F9E"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1E57D00D"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29D5396C"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062" w:type="dxa"/>
          </w:tcPr>
          <w:p w14:paraId="7408AEA3" w14:textId="77777777" w:rsidR="00895305" w:rsidRPr="009A6F08" w:rsidRDefault="00895305"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bl>
    <w:p w14:paraId="57899B50" w14:textId="77777777" w:rsidR="00895305" w:rsidRPr="009A6F08" w:rsidRDefault="00895305" w:rsidP="00895305">
      <w:pPr>
        <w:spacing w:line="240" w:lineRule="auto"/>
        <w:jc w:val="left"/>
        <w:rPr>
          <w:rFonts w:cs="Arial"/>
          <w:sz w:val="20"/>
          <w:szCs w:val="20"/>
          <w:lang w:val="en-US"/>
        </w:rPr>
      </w:pPr>
    </w:p>
    <w:p w14:paraId="55184033" w14:textId="77777777" w:rsidR="00895305" w:rsidRPr="009A6F08" w:rsidRDefault="00895305" w:rsidP="00895305">
      <w:pPr>
        <w:spacing w:line="240" w:lineRule="auto"/>
        <w:ind w:left="709" w:hanging="709"/>
        <w:rPr>
          <w:rFonts w:cs="Arial"/>
          <w:sz w:val="20"/>
          <w:szCs w:val="20"/>
          <w:lang w:val="en-GB"/>
        </w:rPr>
      </w:pPr>
      <w:r w:rsidRPr="009A6F08">
        <w:rPr>
          <w:rFonts w:cs="Arial"/>
          <w:i/>
          <w:sz w:val="20"/>
          <w:szCs w:val="20"/>
          <w:lang w:val="en-GB"/>
        </w:rPr>
        <w:t xml:space="preserve">Notes: </w:t>
      </w:r>
      <w:r w:rsidRPr="009A6F08">
        <w:rPr>
          <w:rFonts w:cs="Arial"/>
          <w:i/>
          <w:sz w:val="20"/>
          <w:szCs w:val="20"/>
          <w:vertAlign w:val="superscript"/>
          <w:lang w:val="en-GB"/>
        </w:rPr>
        <w:t>a</w:t>
      </w:r>
      <w:r w:rsidRPr="009A6F08">
        <w:rPr>
          <w:rFonts w:cs="Arial"/>
          <w:sz w:val="20"/>
          <w:szCs w:val="20"/>
          <w:lang w:val="en-GB"/>
        </w:rPr>
        <w:t xml:space="preserve"> Defined as in table 3, except that prices are weighted by consumption instead of population due to limitations in the data. A comparison of both procedures for Spain </w:t>
      </w:r>
      <w:proofErr w:type="gramStart"/>
      <w:r w:rsidRPr="009A6F08">
        <w:rPr>
          <w:rFonts w:cs="Arial"/>
          <w:sz w:val="20"/>
          <w:szCs w:val="20"/>
          <w:lang w:val="en-GB"/>
        </w:rPr>
        <w:t>as a whole shows</w:t>
      </w:r>
      <w:proofErr w:type="gramEnd"/>
      <w:r w:rsidRPr="009A6F08">
        <w:rPr>
          <w:rFonts w:cs="Arial"/>
          <w:sz w:val="20"/>
          <w:szCs w:val="20"/>
          <w:lang w:val="en-GB"/>
        </w:rPr>
        <w:t xml:space="preserve"> that weighing by consumption may entail un upward bias not larger than 10 points for milk in 1964-1980 and entails no bias for all other products and periods.</w:t>
      </w:r>
    </w:p>
    <w:p w14:paraId="1E63D333" w14:textId="77777777" w:rsidR="00895305" w:rsidRPr="009A6F08" w:rsidRDefault="00895305" w:rsidP="00895305">
      <w:pPr>
        <w:spacing w:line="240" w:lineRule="auto"/>
        <w:ind w:left="709" w:hanging="709"/>
        <w:rPr>
          <w:rFonts w:cs="Arial"/>
          <w:sz w:val="20"/>
          <w:szCs w:val="20"/>
          <w:lang w:val="en-US"/>
        </w:rPr>
      </w:pPr>
      <w:r w:rsidRPr="009A6F08">
        <w:rPr>
          <w:rFonts w:cs="Arial"/>
          <w:i/>
          <w:sz w:val="20"/>
          <w:szCs w:val="20"/>
        </w:rPr>
        <w:t xml:space="preserve">Source: </w:t>
      </w:r>
      <w:r w:rsidRPr="009A6F08">
        <w:rPr>
          <w:rFonts w:cs="Arial"/>
          <w:sz w:val="20"/>
          <w:szCs w:val="20"/>
        </w:rPr>
        <w:t xml:space="preserve">INE, </w:t>
      </w:r>
      <w:r w:rsidRPr="009A6F08">
        <w:rPr>
          <w:rFonts w:cs="Arial"/>
          <w:i/>
          <w:sz w:val="20"/>
          <w:szCs w:val="20"/>
        </w:rPr>
        <w:t>Encuesta de presupuestos familiares</w:t>
      </w:r>
      <w:r w:rsidRPr="009A6F08">
        <w:rPr>
          <w:rFonts w:cs="Arial"/>
          <w:sz w:val="20"/>
          <w:szCs w:val="20"/>
        </w:rPr>
        <w:t xml:space="preserve">. </w:t>
      </w:r>
      <w:r w:rsidRPr="009A6F08">
        <w:rPr>
          <w:rFonts w:cs="Arial"/>
          <w:sz w:val="20"/>
          <w:szCs w:val="20"/>
          <w:lang w:val="en-US"/>
        </w:rPr>
        <w:t>See main text for details.</w:t>
      </w:r>
    </w:p>
    <w:p w14:paraId="172E6476" w14:textId="77777777" w:rsidR="00895305" w:rsidRPr="009A6F08" w:rsidRDefault="00895305" w:rsidP="00895305">
      <w:pPr>
        <w:spacing w:line="240" w:lineRule="auto"/>
        <w:ind w:left="709" w:hanging="709"/>
        <w:rPr>
          <w:rFonts w:cs="Arial"/>
          <w:sz w:val="20"/>
          <w:szCs w:val="20"/>
          <w:lang w:val="en-US"/>
        </w:rPr>
      </w:pPr>
    </w:p>
    <w:p w14:paraId="07FB739E" w14:textId="77777777" w:rsidR="00895305" w:rsidRPr="009A6F08" w:rsidRDefault="00895305" w:rsidP="00895305">
      <w:pPr>
        <w:spacing w:line="240" w:lineRule="auto"/>
        <w:ind w:left="709" w:hanging="709"/>
        <w:rPr>
          <w:rFonts w:cs="Arial"/>
          <w:sz w:val="20"/>
          <w:szCs w:val="20"/>
          <w:lang w:val="en-US"/>
        </w:rPr>
      </w:pPr>
    </w:p>
    <w:p w14:paraId="12F6AE2E" w14:textId="77777777" w:rsidR="00895305" w:rsidRPr="009A6F08" w:rsidRDefault="00895305" w:rsidP="00895305">
      <w:pPr>
        <w:spacing w:line="240" w:lineRule="auto"/>
        <w:ind w:left="709" w:hanging="709"/>
        <w:rPr>
          <w:rFonts w:cs="Arial"/>
          <w:sz w:val="20"/>
          <w:szCs w:val="20"/>
          <w:lang w:val="en-US"/>
        </w:rPr>
      </w:pPr>
    </w:p>
    <w:p w14:paraId="371CD100" w14:textId="77777777" w:rsidR="007C0656" w:rsidRPr="009A6F08" w:rsidRDefault="007C0656" w:rsidP="007C0656">
      <w:pPr>
        <w:spacing w:line="240" w:lineRule="auto"/>
        <w:ind w:left="822" w:hanging="822"/>
        <w:jc w:val="left"/>
        <w:rPr>
          <w:rFonts w:cs="Arial"/>
          <w:i/>
          <w:sz w:val="22"/>
          <w:szCs w:val="22"/>
          <w:lang w:val="en-US"/>
        </w:rPr>
      </w:pPr>
      <w:r w:rsidRPr="009A6F08">
        <w:rPr>
          <w:rFonts w:cs="Arial"/>
          <w:b/>
          <w:sz w:val="22"/>
          <w:szCs w:val="22"/>
          <w:lang w:val="en-US"/>
        </w:rPr>
        <w:t xml:space="preserve">Table 5. </w:t>
      </w:r>
      <w:r w:rsidRPr="009A6F08">
        <w:rPr>
          <w:rFonts w:cs="Arial"/>
          <w:i/>
          <w:sz w:val="22"/>
          <w:szCs w:val="22"/>
          <w:lang w:val="en-US"/>
        </w:rPr>
        <w:t xml:space="preserve">Average consumer responsiveness to changes in dairy-specific purchasing </w:t>
      </w:r>
      <w:proofErr w:type="gramStart"/>
      <w:r w:rsidRPr="009A6F08">
        <w:rPr>
          <w:rFonts w:cs="Arial"/>
          <w:i/>
          <w:sz w:val="22"/>
          <w:szCs w:val="22"/>
          <w:lang w:val="en-US"/>
        </w:rPr>
        <w:t>power</w:t>
      </w:r>
      <w:proofErr w:type="gramEnd"/>
    </w:p>
    <w:p w14:paraId="678ACC3B" w14:textId="77777777" w:rsidR="007C0656" w:rsidRPr="009A6F08" w:rsidRDefault="007C0656" w:rsidP="007C0656">
      <w:pPr>
        <w:spacing w:line="240" w:lineRule="auto"/>
        <w:jc w:val="left"/>
        <w:rPr>
          <w:rFonts w:cs="Arial"/>
          <w:sz w:val="22"/>
          <w:szCs w:val="22"/>
          <w:lang w:val="en-US"/>
        </w:rPr>
      </w:pPr>
    </w:p>
    <w:tbl>
      <w:tblPr>
        <w:tblStyle w:val="CJE"/>
        <w:tblW w:w="8505" w:type="dxa"/>
        <w:jc w:val="center"/>
        <w:tblLook w:val="04A0" w:firstRow="1" w:lastRow="0" w:firstColumn="1" w:lastColumn="0" w:noHBand="0" w:noVBand="1"/>
      </w:tblPr>
      <w:tblGrid>
        <w:gridCol w:w="2412"/>
        <w:gridCol w:w="867"/>
        <w:gridCol w:w="868"/>
        <w:gridCol w:w="818"/>
        <w:gridCol w:w="867"/>
        <w:gridCol w:w="843"/>
        <w:gridCol w:w="843"/>
        <w:gridCol w:w="987"/>
      </w:tblGrid>
      <w:tr w:rsidR="007C0656" w:rsidRPr="009A6F08" w14:paraId="0B2DC4A4" w14:textId="77777777" w:rsidTr="00F721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13" w:type="dxa"/>
          </w:tcPr>
          <w:p w14:paraId="52C9EE77" w14:textId="77777777" w:rsidR="007C0656" w:rsidRPr="009A6F08" w:rsidRDefault="007C0656" w:rsidP="00F721B7">
            <w:pPr>
              <w:jc w:val="left"/>
              <w:rPr>
                <w:rFonts w:cs="Arial"/>
                <w:sz w:val="22"/>
                <w:szCs w:val="22"/>
                <w:lang w:val="en-US"/>
              </w:rPr>
            </w:pPr>
          </w:p>
        </w:tc>
        <w:tc>
          <w:tcPr>
            <w:tcW w:w="2318" w:type="dxa"/>
            <w:gridSpan w:val="3"/>
          </w:tcPr>
          <w:p w14:paraId="27CE2ED0"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Milk</w:t>
            </w:r>
          </w:p>
          <w:tbl>
            <w:tblPr>
              <w:tblStyle w:val="HistAgr"/>
              <w:tblW w:w="0" w:type="auto"/>
              <w:tblBorders>
                <w:top w:val="single" w:sz="4" w:space="0" w:color="000000" w:themeColor="text1"/>
                <w:bottom w:val="none" w:sz="0" w:space="0" w:color="auto"/>
              </w:tblBorders>
              <w:tblLook w:val="04A0" w:firstRow="1" w:lastRow="0" w:firstColumn="1" w:lastColumn="0" w:noHBand="0" w:noVBand="1"/>
            </w:tblPr>
            <w:tblGrid>
              <w:gridCol w:w="730"/>
              <w:gridCol w:w="731"/>
              <w:gridCol w:w="731"/>
            </w:tblGrid>
            <w:tr w:rsidR="007C0656" w:rsidRPr="009A6F08" w14:paraId="49782E5D" w14:textId="77777777" w:rsidTr="00F72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E6A466" w14:textId="77777777" w:rsidR="007C0656" w:rsidRPr="009A6F08" w:rsidRDefault="007C0656" w:rsidP="00F721B7">
                  <w:pPr>
                    <w:rPr>
                      <w:rFonts w:cs="Arial"/>
                      <w:sz w:val="22"/>
                      <w:szCs w:val="22"/>
                      <w:lang w:val="en-US"/>
                    </w:rPr>
                  </w:pPr>
                  <w:r w:rsidRPr="009A6F08">
                    <w:rPr>
                      <w:rFonts w:cs="Arial"/>
                      <w:sz w:val="22"/>
                      <w:szCs w:val="22"/>
                      <w:lang w:val="en-US"/>
                    </w:rPr>
                    <w:t>1964-1973</w:t>
                  </w:r>
                </w:p>
              </w:tc>
              <w:tc>
                <w:tcPr>
                  <w:tcW w:w="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3DB7CB"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1973-1980</w:t>
                  </w:r>
                </w:p>
              </w:tc>
              <w:tc>
                <w:tcPr>
                  <w:tcW w:w="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C0BF50"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1980-1990</w:t>
                  </w:r>
                </w:p>
              </w:tc>
            </w:tr>
          </w:tbl>
          <w:p w14:paraId="22977882"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p>
        </w:tc>
        <w:tc>
          <w:tcPr>
            <w:tcW w:w="2324" w:type="dxa"/>
            <w:gridSpan w:val="3"/>
          </w:tcPr>
          <w:p w14:paraId="27F6DB16"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Cheese</w:t>
            </w:r>
          </w:p>
          <w:tbl>
            <w:tblPr>
              <w:tblStyle w:val="HistAgr"/>
              <w:tblW w:w="0" w:type="auto"/>
              <w:tblBorders>
                <w:top w:val="single" w:sz="4" w:space="0" w:color="000000" w:themeColor="text1"/>
                <w:bottom w:val="none" w:sz="0" w:space="0" w:color="auto"/>
              </w:tblBorders>
              <w:tblLook w:val="04A0" w:firstRow="1" w:lastRow="0" w:firstColumn="1" w:lastColumn="0" w:noHBand="0" w:noVBand="1"/>
            </w:tblPr>
            <w:tblGrid>
              <w:gridCol w:w="730"/>
              <w:gridCol w:w="730"/>
              <w:gridCol w:w="730"/>
            </w:tblGrid>
            <w:tr w:rsidR="007C0656" w:rsidRPr="009A6F08" w14:paraId="2623C805" w14:textId="77777777" w:rsidTr="00F72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3F95E3" w14:textId="77777777" w:rsidR="007C0656" w:rsidRPr="009A6F08" w:rsidRDefault="007C0656" w:rsidP="00F721B7">
                  <w:pPr>
                    <w:rPr>
                      <w:rFonts w:cs="Arial"/>
                      <w:sz w:val="22"/>
                      <w:szCs w:val="22"/>
                      <w:lang w:val="en-US"/>
                    </w:rPr>
                  </w:pPr>
                  <w:r w:rsidRPr="009A6F08">
                    <w:rPr>
                      <w:rFonts w:cs="Arial"/>
                      <w:sz w:val="22"/>
                      <w:szCs w:val="22"/>
                      <w:lang w:val="en-US"/>
                    </w:rPr>
                    <w:t>1964-1973</w:t>
                  </w:r>
                </w:p>
              </w:tc>
              <w:tc>
                <w:tcPr>
                  <w:tcW w:w="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65F676"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1973-1980</w:t>
                  </w:r>
                </w:p>
              </w:tc>
              <w:tc>
                <w:tcPr>
                  <w:tcW w:w="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ACF445"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1980-1990</w:t>
                  </w:r>
                </w:p>
              </w:tc>
            </w:tr>
          </w:tbl>
          <w:p w14:paraId="45BD3032"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p>
        </w:tc>
        <w:tc>
          <w:tcPr>
            <w:tcW w:w="950" w:type="dxa"/>
          </w:tcPr>
          <w:p w14:paraId="05EED9D7"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Yoghurt</w:t>
            </w:r>
          </w:p>
          <w:p w14:paraId="3727C142" w14:textId="77777777" w:rsidR="007C0656" w:rsidRPr="009A6F08" w:rsidRDefault="007C0656"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1980-1990</w:t>
            </w:r>
          </w:p>
        </w:tc>
      </w:tr>
      <w:tr w:rsidR="007C0656" w:rsidRPr="009A6F08" w14:paraId="6F1C7807"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913" w:type="dxa"/>
          </w:tcPr>
          <w:p w14:paraId="75DD7BE0" w14:textId="77777777" w:rsidR="007C0656" w:rsidRPr="009A6F08" w:rsidRDefault="007C0656" w:rsidP="00F721B7">
            <w:pPr>
              <w:rPr>
                <w:rFonts w:cs="Arial"/>
                <w:sz w:val="22"/>
                <w:szCs w:val="22"/>
                <w:lang w:val="en-US"/>
              </w:rPr>
            </w:pPr>
          </w:p>
        </w:tc>
        <w:tc>
          <w:tcPr>
            <w:tcW w:w="772" w:type="dxa"/>
          </w:tcPr>
          <w:p w14:paraId="4CE63856"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3" w:type="dxa"/>
          </w:tcPr>
          <w:p w14:paraId="370C0DBD"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3" w:type="dxa"/>
          </w:tcPr>
          <w:p w14:paraId="6477E4F9"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8" w:type="dxa"/>
          </w:tcPr>
          <w:p w14:paraId="66981213"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3" w:type="dxa"/>
          </w:tcPr>
          <w:p w14:paraId="72FA5923"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3" w:type="dxa"/>
          </w:tcPr>
          <w:p w14:paraId="093A85AF"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950" w:type="dxa"/>
          </w:tcPr>
          <w:p w14:paraId="252748B1"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7C0656" w:rsidRPr="009A6F08" w14:paraId="0C85F856"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913" w:type="dxa"/>
          </w:tcPr>
          <w:p w14:paraId="32359A8E" w14:textId="77777777" w:rsidR="007C0656" w:rsidRPr="009A6F08" w:rsidRDefault="007C0656" w:rsidP="00F721B7">
            <w:pPr>
              <w:rPr>
                <w:rFonts w:cs="Arial"/>
                <w:i/>
                <w:sz w:val="22"/>
                <w:szCs w:val="22"/>
                <w:vertAlign w:val="superscript"/>
                <w:lang w:val="en-US"/>
              </w:rPr>
            </w:pPr>
            <w:r w:rsidRPr="009A6F08">
              <w:rPr>
                <w:rFonts w:cs="Arial"/>
                <w:sz w:val="22"/>
                <w:szCs w:val="22"/>
                <w:lang w:val="en-US"/>
              </w:rPr>
              <w:t>Change in consumption</w:t>
            </w:r>
            <w:r w:rsidRPr="009A6F08">
              <w:rPr>
                <w:rFonts w:cs="Arial"/>
                <w:i/>
                <w:sz w:val="22"/>
                <w:szCs w:val="22"/>
                <w:vertAlign w:val="superscript"/>
                <w:lang w:val="en-US"/>
              </w:rPr>
              <w:t>a</w:t>
            </w:r>
          </w:p>
        </w:tc>
        <w:tc>
          <w:tcPr>
            <w:tcW w:w="772" w:type="dxa"/>
          </w:tcPr>
          <w:p w14:paraId="4D7716B9" w14:textId="77777777" w:rsidR="007C0656" w:rsidRPr="009A6F08" w:rsidRDefault="007C0656"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4.4</w:t>
            </w:r>
          </w:p>
        </w:tc>
        <w:tc>
          <w:tcPr>
            <w:tcW w:w="773" w:type="dxa"/>
          </w:tcPr>
          <w:p w14:paraId="6CAF8894" w14:textId="77777777" w:rsidR="007C0656" w:rsidRPr="009A6F08" w:rsidRDefault="007C0656" w:rsidP="00F721B7">
            <w:pPr>
              <w:ind w:left="-7"/>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1.1</w:t>
            </w:r>
          </w:p>
        </w:tc>
        <w:tc>
          <w:tcPr>
            <w:tcW w:w="773" w:type="dxa"/>
          </w:tcPr>
          <w:p w14:paraId="251779A6"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–0.6</w:t>
            </w:r>
          </w:p>
        </w:tc>
        <w:tc>
          <w:tcPr>
            <w:tcW w:w="778" w:type="dxa"/>
          </w:tcPr>
          <w:p w14:paraId="10A28DBB" w14:textId="77777777" w:rsidR="007C0656" w:rsidRPr="009A6F08" w:rsidRDefault="007C0656" w:rsidP="00F721B7">
            <w:pPr>
              <w:ind w:right="142"/>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12.0</w:t>
            </w:r>
          </w:p>
        </w:tc>
        <w:tc>
          <w:tcPr>
            <w:tcW w:w="773" w:type="dxa"/>
          </w:tcPr>
          <w:p w14:paraId="4723E9CB" w14:textId="77777777" w:rsidR="007C0656" w:rsidRPr="009A6F08" w:rsidRDefault="007C0656"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0.2</w:t>
            </w:r>
          </w:p>
        </w:tc>
        <w:tc>
          <w:tcPr>
            <w:tcW w:w="773" w:type="dxa"/>
          </w:tcPr>
          <w:p w14:paraId="47CCE6B0" w14:textId="77777777" w:rsidR="007C0656" w:rsidRPr="009A6F08" w:rsidRDefault="007C0656"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2.8</w:t>
            </w:r>
          </w:p>
        </w:tc>
        <w:tc>
          <w:tcPr>
            <w:tcW w:w="950" w:type="dxa"/>
          </w:tcPr>
          <w:p w14:paraId="1ABAD4E4" w14:textId="77777777" w:rsidR="007C0656" w:rsidRPr="009A6F08" w:rsidRDefault="007C0656"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2.9</w:t>
            </w:r>
          </w:p>
        </w:tc>
      </w:tr>
      <w:tr w:rsidR="007C0656" w:rsidRPr="009A6F08" w14:paraId="4A22F888"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913" w:type="dxa"/>
          </w:tcPr>
          <w:p w14:paraId="0A94B5FD" w14:textId="77777777" w:rsidR="007C0656" w:rsidRPr="009A6F08" w:rsidRDefault="007C0656" w:rsidP="00F721B7">
            <w:pPr>
              <w:ind w:left="319" w:hanging="319"/>
              <w:rPr>
                <w:rFonts w:cs="Arial"/>
                <w:sz w:val="22"/>
                <w:szCs w:val="22"/>
                <w:lang w:val="en-US"/>
              </w:rPr>
            </w:pPr>
            <w:r w:rsidRPr="009A6F08">
              <w:rPr>
                <w:rFonts w:cs="Arial"/>
                <w:sz w:val="22"/>
                <w:szCs w:val="22"/>
                <w:lang w:val="en-US"/>
              </w:rPr>
              <w:t>Change in product-specific purchasing power</w:t>
            </w:r>
            <w:r w:rsidRPr="009A6F08">
              <w:rPr>
                <w:rFonts w:cs="Arial"/>
                <w:i/>
                <w:sz w:val="22"/>
                <w:szCs w:val="22"/>
                <w:vertAlign w:val="superscript"/>
                <w:lang w:val="en-US"/>
              </w:rPr>
              <w:t>b</w:t>
            </w:r>
          </w:p>
        </w:tc>
        <w:tc>
          <w:tcPr>
            <w:tcW w:w="772" w:type="dxa"/>
          </w:tcPr>
          <w:p w14:paraId="06166DFA" w14:textId="77777777" w:rsidR="007C0656" w:rsidRPr="009A6F08" w:rsidRDefault="007C0656"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5.3</w:t>
            </w:r>
          </w:p>
        </w:tc>
        <w:tc>
          <w:tcPr>
            <w:tcW w:w="773" w:type="dxa"/>
          </w:tcPr>
          <w:p w14:paraId="2585B2BD" w14:textId="77777777" w:rsidR="007C0656" w:rsidRPr="009A6F08" w:rsidRDefault="007C0656" w:rsidP="00F721B7">
            <w:pPr>
              <w:ind w:left="-7"/>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5.2</w:t>
            </w:r>
          </w:p>
        </w:tc>
        <w:tc>
          <w:tcPr>
            <w:tcW w:w="773" w:type="dxa"/>
          </w:tcPr>
          <w:p w14:paraId="1526C8DD" w14:textId="77777777" w:rsidR="007C0656" w:rsidRPr="009A6F08" w:rsidRDefault="007C0656" w:rsidP="00F721B7">
            <w:pPr>
              <w:ind w:left="113"/>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3.1</w:t>
            </w:r>
          </w:p>
        </w:tc>
        <w:tc>
          <w:tcPr>
            <w:tcW w:w="778" w:type="dxa"/>
          </w:tcPr>
          <w:p w14:paraId="0BF495B6" w14:textId="77777777" w:rsidR="007C0656" w:rsidRPr="009A6F08" w:rsidRDefault="007C0656" w:rsidP="00F721B7">
            <w:pPr>
              <w:ind w:right="142"/>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6.6</w:t>
            </w:r>
          </w:p>
        </w:tc>
        <w:tc>
          <w:tcPr>
            <w:tcW w:w="773" w:type="dxa"/>
          </w:tcPr>
          <w:p w14:paraId="41202F46" w14:textId="77777777" w:rsidR="007C0656" w:rsidRPr="009A6F08" w:rsidRDefault="007C0656"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0.3</w:t>
            </w:r>
          </w:p>
        </w:tc>
        <w:tc>
          <w:tcPr>
            <w:tcW w:w="773" w:type="dxa"/>
          </w:tcPr>
          <w:p w14:paraId="0AC26733" w14:textId="77777777" w:rsidR="007C0656" w:rsidRPr="009A6F08" w:rsidRDefault="007C0656"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4.4</w:t>
            </w:r>
          </w:p>
        </w:tc>
        <w:tc>
          <w:tcPr>
            <w:tcW w:w="950" w:type="dxa"/>
          </w:tcPr>
          <w:p w14:paraId="5EFDD00A" w14:textId="77777777" w:rsidR="007C0656" w:rsidRPr="009A6F08" w:rsidRDefault="007C0656"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4.4</w:t>
            </w:r>
          </w:p>
        </w:tc>
      </w:tr>
      <w:tr w:rsidR="007C0656" w:rsidRPr="009A6F08" w14:paraId="1FB6FB39"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913" w:type="dxa"/>
          </w:tcPr>
          <w:p w14:paraId="3AA55EA3" w14:textId="77777777" w:rsidR="007C0656" w:rsidRPr="009A6F08" w:rsidRDefault="007C0656" w:rsidP="00F721B7">
            <w:pPr>
              <w:rPr>
                <w:rFonts w:cs="Arial"/>
                <w:sz w:val="22"/>
                <w:szCs w:val="22"/>
                <w:lang w:val="en-US"/>
              </w:rPr>
            </w:pPr>
            <w:r w:rsidRPr="009A6F08">
              <w:rPr>
                <w:rFonts w:cs="Arial"/>
                <w:sz w:val="22"/>
                <w:szCs w:val="22"/>
                <w:lang w:val="en-US"/>
              </w:rPr>
              <w:t>Responsiveness factor</w:t>
            </w:r>
            <w:r w:rsidRPr="009A6F08">
              <w:rPr>
                <w:rFonts w:cs="Arial"/>
                <w:i/>
                <w:sz w:val="22"/>
                <w:szCs w:val="22"/>
                <w:vertAlign w:val="superscript"/>
                <w:lang w:val="en-US"/>
              </w:rPr>
              <w:t>c</w:t>
            </w:r>
          </w:p>
        </w:tc>
        <w:tc>
          <w:tcPr>
            <w:tcW w:w="772" w:type="dxa"/>
          </w:tcPr>
          <w:p w14:paraId="752C55E6" w14:textId="77777777" w:rsidR="007C0656" w:rsidRPr="009A6F08" w:rsidRDefault="007C0656" w:rsidP="00F721B7">
            <w:pPr>
              <w:ind w:left="85"/>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0.82</w:t>
            </w:r>
          </w:p>
        </w:tc>
        <w:tc>
          <w:tcPr>
            <w:tcW w:w="773" w:type="dxa"/>
          </w:tcPr>
          <w:p w14:paraId="40E84BB8" w14:textId="77777777" w:rsidR="007C0656" w:rsidRPr="009A6F08" w:rsidRDefault="007C0656" w:rsidP="00F721B7">
            <w:pPr>
              <w:ind w:left="85"/>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0.21</w:t>
            </w:r>
          </w:p>
        </w:tc>
        <w:tc>
          <w:tcPr>
            <w:tcW w:w="773" w:type="dxa"/>
          </w:tcPr>
          <w:p w14:paraId="2AADB2BA"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–0.20</w:t>
            </w:r>
          </w:p>
        </w:tc>
        <w:tc>
          <w:tcPr>
            <w:tcW w:w="778" w:type="dxa"/>
          </w:tcPr>
          <w:p w14:paraId="64AE5E16" w14:textId="77777777" w:rsidR="007C0656" w:rsidRPr="009A6F08" w:rsidRDefault="007C0656" w:rsidP="00F721B7">
            <w:pPr>
              <w:ind w:right="57"/>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1.82</w:t>
            </w:r>
          </w:p>
        </w:tc>
        <w:tc>
          <w:tcPr>
            <w:tcW w:w="773" w:type="dxa"/>
          </w:tcPr>
          <w:p w14:paraId="105C6E00" w14:textId="77777777" w:rsidR="007C0656" w:rsidRPr="009A6F08" w:rsidRDefault="007C0656" w:rsidP="00F721B7">
            <w:pPr>
              <w:ind w:left="113"/>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0.81</w:t>
            </w:r>
          </w:p>
        </w:tc>
        <w:tc>
          <w:tcPr>
            <w:tcW w:w="773" w:type="dxa"/>
          </w:tcPr>
          <w:p w14:paraId="44F4C114" w14:textId="77777777" w:rsidR="007C0656" w:rsidRPr="009A6F08" w:rsidRDefault="007C0656" w:rsidP="00F721B7">
            <w:pPr>
              <w:ind w:left="113"/>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0.63</w:t>
            </w:r>
          </w:p>
        </w:tc>
        <w:tc>
          <w:tcPr>
            <w:tcW w:w="950" w:type="dxa"/>
          </w:tcPr>
          <w:p w14:paraId="7C9FF640" w14:textId="77777777" w:rsidR="007C0656" w:rsidRPr="009A6F08" w:rsidRDefault="007C0656" w:rsidP="00F721B7">
            <w:pPr>
              <w:ind w:left="113"/>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0.65</w:t>
            </w:r>
          </w:p>
        </w:tc>
      </w:tr>
      <w:tr w:rsidR="007C0656" w:rsidRPr="009A6F08" w14:paraId="0C498EED"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913" w:type="dxa"/>
          </w:tcPr>
          <w:p w14:paraId="49D08ADB" w14:textId="77777777" w:rsidR="007C0656" w:rsidRPr="009A6F08" w:rsidRDefault="007C0656" w:rsidP="00F721B7">
            <w:pPr>
              <w:rPr>
                <w:rFonts w:cs="Arial"/>
                <w:sz w:val="22"/>
                <w:szCs w:val="22"/>
                <w:lang w:val="en-US"/>
              </w:rPr>
            </w:pPr>
          </w:p>
        </w:tc>
        <w:tc>
          <w:tcPr>
            <w:tcW w:w="772" w:type="dxa"/>
          </w:tcPr>
          <w:p w14:paraId="606BC288"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3" w:type="dxa"/>
          </w:tcPr>
          <w:p w14:paraId="2112C67B"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3" w:type="dxa"/>
          </w:tcPr>
          <w:p w14:paraId="685525D0"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8" w:type="dxa"/>
          </w:tcPr>
          <w:p w14:paraId="25988131"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3" w:type="dxa"/>
          </w:tcPr>
          <w:p w14:paraId="66A10C77"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773" w:type="dxa"/>
          </w:tcPr>
          <w:p w14:paraId="4B681F00"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950" w:type="dxa"/>
          </w:tcPr>
          <w:p w14:paraId="747A20CF" w14:textId="77777777" w:rsidR="007C0656" w:rsidRPr="009A6F08" w:rsidRDefault="007C0656"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bl>
    <w:p w14:paraId="7CFCD8F6" w14:textId="77777777" w:rsidR="007C0656" w:rsidRPr="009A6F08" w:rsidRDefault="007C0656" w:rsidP="007C0656">
      <w:pPr>
        <w:spacing w:line="240" w:lineRule="auto"/>
        <w:jc w:val="left"/>
        <w:rPr>
          <w:rFonts w:cs="Arial"/>
          <w:sz w:val="22"/>
          <w:szCs w:val="22"/>
          <w:lang w:val="en-US"/>
        </w:rPr>
      </w:pPr>
    </w:p>
    <w:p w14:paraId="0B1C3E6C" w14:textId="77777777" w:rsidR="007C0656" w:rsidRPr="009A6F08" w:rsidRDefault="007C0656" w:rsidP="007C0656">
      <w:pPr>
        <w:spacing w:line="240" w:lineRule="auto"/>
        <w:ind w:left="709" w:hanging="709"/>
        <w:rPr>
          <w:rFonts w:cs="Arial"/>
          <w:sz w:val="20"/>
          <w:szCs w:val="20"/>
          <w:lang w:val="en-GB"/>
        </w:rPr>
      </w:pPr>
      <w:r w:rsidRPr="009A6F08">
        <w:rPr>
          <w:rFonts w:cs="Arial"/>
          <w:i/>
          <w:sz w:val="20"/>
          <w:szCs w:val="20"/>
          <w:lang w:val="en-GB"/>
        </w:rPr>
        <w:t xml:space="preserve">Notes: </w:t>
      </w:r>
      <w:proofErr w:type="gramStart"/>
      <w:r w:rsidRPr="009A6F08">
        <w:rPr>
          <w:rFonts w:cs="Arial"/>
          <w:i/>
          <w:sz w:val="20"/>
          <w:szCs w:val="20"/>
          <w:vertAlign w:val="superscript"/>
          <w:lang w:val="en-GB"/>
        </w:rPr>
        <w:t>a</w:t>
      </w:r>
      <w:proofErr w:type="gramEnd"/>
      <w:r w:rsidRPr="009A6F08">
        <w:rPr>
          <w:rFonts w:cs="Arial"/>
          <w:sz w:val="20"/>
          <w:szCs w:val="20"/>
          <w:lang w:val="en-GB"/>
        </w:rPr>
        <w:t xml:space="preserve"> Annual compound rate of change in consumption (%); </w:t>
      </w:r>
      <w:r w:rsidRPr="009A6F08">
        <w:rPr>
          <w:rFonts w:cs="Arial"/>
          <w:i/>
          <w:sz w:val="20"/>
          <w:szCs w:val="20"/>
          <w:vertAlign w:val="superscript"/>
          <w:lang w:val="en-GB"/>
        </w:rPr>
        <w:t>b</w:t>
      </w:r>
      <w:r w:rsidRPr="009A6F08">
        <w:rPr>
          <w:rFonts w:cs="Arial"/>
          <w:sz w:val="20"/>
          <w:szCs w:val="20"/>
          <w:lang w:val="en-GB"/>
        </w:rPr>
        <w:t xml:space="preserve"> </w:t>
      </w:r>
      <w:r w:rsidRPr="009A6F08">
        <w:rPr>
          <w:rFonts w:cs="Arial"/>
          <w:i/>
          <w:sz w:val="20"/>
          <w:szCs w:val="20"/>
          <w:lang w:val="en-GB"/>
        </w:rPr>
        <w:t>(Y</w:t>
      </w:r>
      <w:r w:rsidRPr="009A6F08">
        <w:rPr>
          <w:rFonts w:cs="Arial"/>
          <w:sz w:val="20"/>
          <w:szCs w:val="20"/>
          <w:lang w:val="en-US"/>
        </w:rPr>
        <w:t>–</w:t>
      </w:r>
      <w:r w:rsidRPr="009A6F08">
        <w:rPr>
          <w:rFonts w:cs="Arial"/>
          <w:i/>
          <w:sz w:val="20"/>
          <w:szCs w:val="20"/>
          <w:lang w:val="en-US"/>
        </w:rPr>
        <w:t>P)</w:t>
      </w:r>
      <w:r w:rsidRPr="009A6F08">
        <w:rPr>
          <w:rFonts w:cs="Arial"/>
          <w:sz w:val="20"/>
          <w:szCs w:val="20"/>
          <w:lang w:val="en-US"/>
        </w:rPr>
        <w:t xml:space="preserve">, where </w:t>
      </w:r>
      <w:r w:rsidRPr="009A6F08">
        <w:rPr>
          <w:rFonts w:cs="Arial"/>
          <w:i/>
          <w:sz w:val="20"/>
          <w:szCs w:val="20"/>
          <w:lang w:val="en-US"/>
        </w:rPr>
        <w:t xml:space="preserve">Y </w:t>
      </w:r>
      <w:r w:rsidRPr="009A6F08">
        <w:rPr>
          <w:rFonts w:cs="Arial"/>
          <w:sz w:val="20"/>
          <w:szCs w:val="20"/>
          <w:lang w:val="en-US"/>
        </w:rPr>
        <w:t xml:space="preserve">is the annual compound rate of change in income and </w:t>
      </w:r>
      <w:r w:rsidRPr="009A6F08">
        <w:rPr>
          <w:rFonts w:cs="Arial"/>
          <w:i/>
          <w:sz w:val="20"/>
          <w:szCs w:val="20"/>
          <w:lang w:val="en-US"/>
        </w:rPr>
        <w:t>P</w:t>
      </w:r>
      <w:r w:rsidRPr="009A6F08">
        <w:rPr>
          <w:rFonts w:cs="Arial"/>
          <w:sz w:val="20"/>
          <w:szCs w:val="20"/>
          <w:lang w:val="en-US"/>
        </w:rPr>
        <w:t xml:space="preserve"> is the annual compound rate of change in consumer prices; </w:t>
      </w:r>
      <w:r w:rsidRPr="009A6F08">
        <w:rPr>
          <w:rFonts w:cs="Arial"/>
          <w:i/>
          <w:sz w:val="20"/>
          <w:szCs w:val="20"/>
          <w:vertAlign w:val="superscript"/>
          <w:lang w:val="en-GB"/>
        </w:rPr>
        <w:t>c</w:t>
      </w:r>
      <w:r w:rsidRPr="009A6F08">
        <w:rPr>
          <w:rFonts w:cs="Arial"/>
          <w:sz w:val="20"/>
          <w:szCs w:val="20"/>
          <w:lang w:val="en-GB"/>
        </w:rPr>
        <w:t xml:space="preserve"> </w:t>
      </w:r>
      <w:r w:rsidRPr="009A6F08">
        <w:rPr>
          <w:rFonts w:cs="Arial"/>
          <w:i/>
          <w:sz w:val="20"/>
          <w:szCs w:val="20"/>
          <w:lang w:val="en-GB"/>
        </w:rPr>
        <w:t>C</w:t>
      </w:r>
      <w:r w:rsidRPr="009A6F08">
        <w:rPr>
          <w:rFonts w:cs="Arial"/>
          <w:sz w:val="20"/>
          <w:szCs w:val="20"/>
          <w:lang w:val="en-GB"/>
        </w:rPr>
        <w:t xml:space="preserve"> / </w:t>
      </w:r>
      <w:r w:rsidRPr="009A6F08">
        <w:rPr>
          <w:rFonts w:cs="Arial"/>
          <w:i/>
          <w:sz w:val="20"/>
          <w:szCs w:val="20"/>
          <w:lang w:val="en-GB"/>
        </w:rPr>
        <w:t>(Y</w:t>
      </w:r>
      <w:r w:rsidRPr="009A6F08">
        <w:rPr>
          <w:rFonts w:cs="Arial"/>
          <w:sz w:val="20"/>
          <w:szCs w:val="20"/>
          <w:lang w:val="en-US"/>
        </w:rPr>
        <w:t>–</w:t>
      </w:r>
      <w:r w:rsidRPr="009A6F08">
        <w:rPr>
          <w:rFonts w:cs="Arial"/>
          <w:i/>
          <w:sz w:val="20"/>
          <w:szCs w:val="20"/>
          <w:lang w:val="en-US"/>
        </w:rPr>
        <w:t>P</w:t>
      </w:r>
      <w:r w:rsidRPr="009A6F08">
        <w:rPr>
          <w:rFonts w:cs="Arial"/>
          <w:sz w:val="20"/>
          <w:szCs w:val="20"/>
          <w:lang w:val="en-US"/>
        </w:rPr>
        <w:t xml:space="preserve">), where </w:t>
      </w:r>
      <w:r w:rsidRPr="009A6F08">
        <w:rPr>
          <w:rFonts w:cs="Arial"/>
          <w:i/>
          <w:sz w:val="20"/>
          <w:szCs w:val="20"/>
          <w:lang w:val="en-US"/>
        </w:rPr>
        <w:t>C</w:t>
      </w:r>
      <w:r w:rsidRPr="009A6F08">
        <w:rPr>
          <w:rFonts w:cs="Arial"/>
          <w:sz w:val="20"/>
          <w:szCs w:val="20"/>
          <w:lang w:val="en-US"/>
        </w:rPr>
        <w:t xml:space="preserve"> is the annual compound rate of change in consumption.</w:t>
      </w:r>
    </w:p>
    <w:p w14:paraId="55935BD2" w14:textId="77777777" w:rsidR="007C0656" w:rsidRPr="009A6F08" w:rsidRDefault="007C0656" w:rsidP="007C0656">
      <w:pPr>
        <w:spacing w:line="240" w:lineRule="auto"/>
        <w:ind w:left="709" w:hanging="709"/>
        <w:rPr>
          <w:rFonts w:cs="Arial"/>
          <w:sz w:val="20"/>
          <w:szCs w:val="20"/>
          <w:lang w:val="en-US"/>
        </w:rPr>
      </w:pPr>
      <w:r w:rsidRPr="009A6F08">
        <w:rPr>
          <w:rFonts w:cs="Arial"/>
          <w:i/>
          <w:sz w:val="20"/>
          <w:szCs w:val="20"/>
        </w:rPr>
        <w:t xml:space="preserve">Source: </w:t>
      </w:r>
      <w:r w:rsidRPr="009A6F08">
        <w:rPr>
          <w:rFonts w:cs="Arial"/>
          <w:sz w:val="20"/>
          <w:szCs w:val="20"/>
        </w:rPr>
        <w:t xml:space="preserve">INE, </w:t>
      </w:r>
      <w:r w:rsidRPr="009A6F08">
        <w:rPr>
          <w:rFonts w:cs="Arial"/>
          <w:i/>
          <w:sz w:val="20"/>
          <w:szCs w:val="20"/>
        </w:rPr>
        <w:t>Encuesta de presupuestos familiares</w:t>
      </w:r>
      <w:r w:rsidRPr="009A6F08">
        <w:rPr>
          <w:rFonts w:cs="Arial"/>
          <w:sz w:val="20"/>
          <w:szCs w:val="20"/>
        </w:rPr>
        <w:t xml:space="preserve">. </w:t>
      </w:r>
      <w:r w:rsidRPr="009A6F08">
        <w:rPr>
          <w:rFonts w:cs="Arial"/>
          <w:sz w:val="20"/>
          <w:szCs w:val="20"/>
          <w:lang w:val="en-US"/>
        </w:rPr>
        <w:t>See main text for details.</w:t>
      </w:r>
    </w:p>
    <w:p w14:paraId="4AC5B478" w14:textId="77777777" w:rsidR="00B97CC4" w:rsidRPr="009A6F08" w:rsidRDefault="00B97CC4" w:rsidP="007C0656">
      <w:pPr>
        <w:spacing w:line="240" w:lineRule="auto"/>
        <w:ind w:left="709" w:hanging="709"/>
        <w:rPr>
          <w:rFonts w:cs="Arial"/>
          <w:sz w:val="20"/>
          <w:szCs w:val="20"/>
          <w:lang w:val="en-US"/>
        </w:rPr>
      </w:pPr>
    </w:p>
    <w:p w14:paraId="0123FC75" w14:textId="77777777" w:rsidR="00B97CC4" w:rsidRPr="009A6F08" w:rsidRDefault="00B97CC4" w:rsidP="007C0656">
      <w:pPr>
        <w:spacing w:line="240" w:lineRule="auto"/>
        <w:ind w:left="709" w:hanging="709"/>
        <w:rPr>
          <w:rFonts w:cs="Arial"/>
          <w:sz w:val="20"/>
          <w:szCs w:val="20"/>
          <w:lang w:val="en-US"/>
        </w:rPr>
      </w:pPr>
    </w:p>
    <w:p w14:paraId="69C1766F" w14:textId="77777777" w:rsidR="00B97CC4" w:rsidRPr="009A6F08" w:rsidRDefault="00B97CC4" w:rsidP="007C0656">
      <w:pPr>
        <w:spacing w:line="240" w:lineRule="auto"/>
        <w:ind w:left="709" w:hanging="709"/>
        <w:rPr>
          <w:rFonts w:cs="Arial"/>
          <w:sz w:val="20"/>
          <w:szCs w:val="20"/>
          <w:lang w:val="en-US"/>
        </w:rPr>
      </w:pPr>
    </w:p>
    <w:p w14:paraId="51FD2194" w14:textId="77777777" w:rsidR="00BD7193" w:rsidRDefault="00BD7193">
      <w:pPr>
        <w:rPr>
          <w:rFonts w:cs="Arial"/>
          <w:b/>
          <w:sz w:val="22"/>
          <w:szCs w:val="20"/>
          <w:lang w:val="en-US"/>
        </w:rPr>
      </w:pPr>
      <w:r>
        <w:rPr>
          <w:rFonts w:cs="Arial"/>
          <w:b/>
          <w:sz w:val="22"/>
          <w:szCs w:val="20"/>
          <w:lang w:val="en-US"/>
        </w:rPr>
        <w:br w:type="page"/>
      </w:r>
    </w:p>
    <w:p w14:paraId="65A0EC56" w14:textId="3841DE62" w:rsidR="00B97CC4" w:rsidRPr="009A6F08" w:rsidRDefault="00B97CC4" w:rsidP="00B97CC4">
      <w:pPr>
        <w:spacing w:line="240" w:lineRule="auto"/>
        <w:ind w:left="822" w:hanging="822"/>
        <w:jc w:val="left"/>
        <w:rPr>
          <w:rFonts w:cs="Arial"/>
          <w:i/>
          <w:sz w:val="22"/>
          <w:szCs w:val="20"/>
          <w:lang w:val="en-US"/>
        </w:rPr>
      </w:pPr>
      <w:r w:rsidRPr="009A6F08">
        <w:rPr>
          <w:rFonts w:cs="Arial"/>
          <w:b/>
          <w:sz w:val="22"/>
          <w:szCs w:val="20"/>
          <w:lang w:val="en-US"/>
        </w:rPr>
        <w:lastRenderedPageBreak/>
        <w:t xml:space="preserve">Table 6. </w:t>
      </w:r>
      <w:r w:rsidRPr="009A6F08">
        <w:rPr>
          <w:rFonts w:cs="Arial"/>
          <w:i/>
          <w:sz w:val="22"/>
          <w:szCs w:val="20"/>
          <w:lang w:val="en-US"/>
        </w:rPr>
        <w:t xml:space="preserve">Average consumer responsiveness to changes in milk-specific purchasing power, by types of </w:t>
      </w:r>
      <w:proofErr w:type="gramStart"/>
      <w:r w:rsidRPr="009A6F08">
        <w:rPr>
          <w:rFonts w:cs="Arial"/>
          <w:i/>
          <w:sz w:val="22"/>
          <w:szCs w:val="20"/>
          <w:lang w:val="en-US"/>
        </w:rPr>
        <w:t>milk</w:t>
      </w:r>
      <w:proofErr w:type="gramEnd"/>
    </w:p>
    <w:p w14:paraId="69979913" w14:textId="77777777" w:rsidR="00B97CC4" w:rsidRPr="009A6F08" w:rsidRDefault="00B97CC4" w:rsidP="00B97CC4">
      <w:pPr>
        <w:spacing w:line="240" w:lineRule="auto"/>
        <w:jc w:val="center"/>
        <w:rPr>
          <w:rFonts w:cs="Arial"/>
          <w:b/>
          <w:sz w:val="22"/>
          <w:szCs w:val="20"/>
          <w:lang w:val="en-US"/>
        </w:rPr>
      </w:pPr>
    </w:p>
    <w:tbl>
      <w:tblPr>
        <w:tblStyle w:val="CJE"/>
        <w:tblW w:w="8505" w:type="dxa"/>
        <w:jc w:val="center"/>
        <w:tblLook w:val="04A0" w:firstRow="1" w:lastRow="0" w:firstColumn="1" w:lastColumn="0" w:noHBand="0" w:noVBand="1"/>
      </w:tblPr>
      <w:tblGrid>
        <w:gridCol w:w="2564"/>
        <w:gridCol w:w="1978"/>
        <w:gridCol w:w="1978"/>
        <w:gridCol w:w="1985"/>
      </w:tblGrid>
      <w:tr w:rsidR="00B97CC4" w:rsidRPr="009A6F08" w14:paraId="3F5A127F" w14:textId="77777777" w:rsidTr="00F721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9" w:type="dxa"/>
          </w:tcPr>
          <w:p w14:paraId="77D85513" w14:textId="77777777" w:rsidR="00B97CC4" w:rsidRPr="009A6F08" w:rsidRDefault="00B97CC4" w:rsidP="00F721B7">
            <w:pPr>
              <w:rPr>
                <w:rFonts w:cs="Arial"/>
                <w:sz w:val="22"/>
                <w:szCs w:val="20"/>
                <w:lang w:val="en-US"/>
              </w:rPr>
            </w:pPr>
          </w:p>
        </w:tc>
        <w:tc>
          <w:tcPr>
            <w:tcW w:w="2180" w:type="dxa"/>
          </w:tcPr>
          <w:p w14:paraId="4144BEAD" w14:textId="77777777" w:rsidR="00B97CC4" w:rsidRPr="009A6F08" w:rsidRDefault="00B97CC4" w:rsidP="00F721B7">
            <w:pPr>
              <w:cnfStyle w:val="100000000000" w:firstRow="1" w:lastRow="0" w:firstColumn="0" w:lastColumn="0" w:oddVBand="0" w:evenVBand="0" w:oddHBand="0" w:evenHBand="0" w:firstRowFirstColumn="0" w:firstRowLastColumn="0" w:lastRowFirstColumn="0" w:lastRowLastColumn="0"/>
              <w:rPr>
                <w:rFonts w:cs="Arial"/>
                <w:sz w:val="22"/>
                <w:szCs w:val="20"/>
                <w:lang w:val="en-US"/>
              </w:rPr>
            </w:pPr>
            <w:r w:rsidRPr="009A6F08">
              <w:rPr>
                <w:rFonts w:cs="Arial"/>
                <w:sz w:val="22"/>
                <w:szCs w:val="20"/>
                <w:lang w:val="en-US"/>
              </w:rPr>
              <w:t>Raw milk</w:t>
            </w:r>
          </w:p>
        </w:tc>
        <w:tc>
          <w:tcPr>
            <w:tcW w:w="2180" w:type="dxa"/>
          </w:tcPr>
          <w:p w14:paraId="0553C798" w14:textId="77777777" w:rsidR="00B97CC4" w:rsidRPr="009A6F08" w:rsidRDefault="00B97CC4" w:rsidP="00F721B7">
            <w:pPr>
              <w:cnfStyle w:val="100000000000" w:firstRow="1" w:lastRow="0" w:firstColumn="0" w:lastColumn="0" w:oddVBand="0" w:evenVBand="0" w:oddHBand="0" w:evenHBand="0" w:firstRowFirstColumn="0" w:firstRowLastColumn="0" w:lastRowFirstColumn="0" w:lastRowLastColumn="0"/>
              <w:rPr>
                <w:rFonts w:cs="Arial"/>
                <w:sz w:val="22"/>
                <w:szCs w:val="20"/>
                <w:lang w:val="en-US"/>
              </w:rPr>
            </w:pPr>
            <w:r w:rsidRPr="009A6F08">
              <w:rPr>
                <w:rFonts w:cs="Arial"/>
                <w:sz w:val="22"/>
                <w:szCs w:val="20"/>
                <w:lang w:val="en-US"/>
              </w:rPr>
              <w:t>Processed milk</w:t>
            </w:r>
          </w:p>
        </w:tc>
        <w:tc>
          <w:tcPr>
            <w:tcW w:w="2180" w:type="dxa"/>
          </w:tcPr>
          <w:p w14:paraId="7A1CD666" w14:textId="77777777" w:rsidR="00B97CC4" w:rsidRPr="009A6F08" w:rsidRDefault="00B97CC4" w:rsidP="00F721B7">
            <w:pPr>
              <w:cnfStyle w:val="100000000000" w:firstRow="1" w:lastRow="0" w:firstColumn="0" w:lastColumn="0" w:oddVBand="0" w:evenVBand="0" w:oddHBand="0" w:evenHBand="0" w:firstRowFirstColumn="0" w:firstRowLastColumn="0" w:lastRowFirstColumn="0" w:lastRowLastColumn="0"/>
              <w:rPr>
                <w:rFonts w:cs="Arial"/>
                <w:sz w:val="22"/>
                <w:szCs w:val="20"/>
                <w:lang w:val="en-US"/>
              </w:rPr>
            </w:pPr>
            <w:r w:rsidRPr="009A6F08">
              <w:rPr>
                <w:rFonts w:cs="Arial"/>
                <w:sz w:val="22"/>
                <w:szCs w:val="20"/>
                <w:lang w:val="en-US"/>
              </w:rPr>
              <w:t>Milk (aggregate)</w:t>
            </w:r>
          </w:p>
        </w:tc>
      </w:tr>
      <w:tr w:rsidR="00B97CC4" w:rsidRPr="009A6F08" w14:paraId="44713071"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7D846D52" w14:textId="77777777" w:rsidR="00B97CC4" w:rsidRPr="009A6F08" w:rsidRDefault="00B97CC4" w:rsidP="00F721B7">
            <w:pPr>
              <w:rPr>
                <w:rFonts w:cs="Arial"/>
                <w:sz w:val="22"/>
                <w:szCs w:val="20"/>
                <w:lang w:val="en-US"/>
              </w:rPr>
            </w:pPr>
          </w:p>
        </w:tc>
        <w:tc>
          <w:tcPr>
            <w:tcW w:w="2180" w:type="dxa"/>
          </w:tcPr>
          <w:p w14:paraId="5C62E52A" w14:textId="77777777" w:rsidR="00B97CC4" w:rsidRPr="009A6F08" w:rsidRDefault="00B97CC4"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0"/>
                <w:lang w:val="en-US"/>
              </w:rPr>
            </w:pPr>
          </w:p>
        </w:tc>
        <w:tc>
          <w:tcPr>
            <w:tcW w:w="2180" w:type="dxa"/>
          </w:tcPr>
          <w:p w14:paraId="58FE5832" w14:textId="77777777" w:rsidR="00B97CC4" w:rsidRPr="009A6F08" w:rsidRDefault="00B97CC4"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0"/>
                <w:lang w:val="en-US"/>
              </w:rPr>
            </w:pPr>
          </w:p>
        </w:tc>
        <w:tc>
          <w:tcPr>
            <w:tcW w:w="2180" w:type="dxa"/>
          </w:tcPr>
          <w:p w14:paraId="308A4B22" w14:textId="77777777" w:rsidR="00B97CC4" w:rsidRPr="009A6F08" w:rsidRDefault="00B97CC4"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0"/>
                <w:lang w:val="en-US"/>
              </w:rPr>
            </w:pPr>
          </w:p>
        </w:tc>
      </w:tr>
      <w:tr w:rsidR="00B97CC4" w:rsidRPr="009A6F08" w14:paraId="669B9E0B"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455C37C4" w14:textId="77777777" w:rsidR="00B97CC4" w:rsidRPr="009A6F08" w:rsidRDefault="00B97CC4" w:rsidP="00F721B7">
            <w:pPr>
              <w:jc w:val="center"/>
              <w:rPr>
                <w:rFonts w:cs="Arial"/>
                <w:sz w:val="22"/>
                <w:szCs w:val="20"/>
                <w:lang w:val="en-US"/>
              </w:rPr>
            </w:pPr>
            <w:r w:rsidRPr="009A6F08">
              <w:rPr>
                <w:rFonts w:cs="Arial"/>
                <w:sz w:val="22"/>
                <w:szCs w:val="20"/>
                <w:lang w:val="en-US"/>
              </w:rPr>
              <w:t>1964-1980</w:t>
            </w:r>
          </w:p>
        </w:tc>
        <w:tc>
          <w:tcPr>
            <w:tcW w:w="2180" w:type="dxa"/>
          </w:tcPr>
          <w:p w14:paraId="7DD43670" w14:textId="77777777" w:rsidR="00B97CC4" w:rsidRPr="009A6F08" w:rsidRDefault="00B97CC4" w:rsidP="00F721B7">
            <w:pPr>
              <w:ind w:right="680"/>
              <w:cnfStyle w:val="000000000000" w:firstRow="0" w:lastRow="0" w:firstColumn="0" w:lastColumn="0" w:oddVBand="0" w:evenVBand="0" w:oddHBand="0" w:evenHBand="0" w:firstRowFirstColumn="0" w:firstRowLastColumn="0" w:lastRowFirstColumn="0" w:lastRowLastColumn="0"/>
              <w:rPr>
                <w:rFonts w:cs="Arial"/>
                <w:sz w:val="22"/>
                <w:szCs w:val="20"/>
                <w:lang w:val="en-US"/>
              </w:rPr>
            </w:pPr>
            <w:r w:rsidRPr="009A6F08">
              <w:rPr>
                <w:rFonts w:cs="Arial"/>
                <w:sz w:val="22"/>
                <w:szCs w:val="20"/>
                <w:lang w:val="en-US"/>
              </w:rPr>
              <w:t>–0.34</w:t>
            </w:r>
          </w:p>
        </w:tc>
        <w:tc>
          <w:tcPr>
            <w:tcW w:w="2180" w:type="dxa"/>
          </w:tcPr>
          <w:p w14:paraId="51395787" w14:textId="77777777" w:rsidR="00B97CC4" w:rsidRPr="009A6F08" w:rsidRDefault="00B97CC4" w:rsidP="00F721B7">
            <w:pPr>
              <w:ind w:right="680"/>
              <w:cnfStyle w:val="000000000000" w:firstRow="0" w:lastRow="0" w:firstColumn="0" w:lastColumn="0" w:oddVBand="0" w:evenVBand="0" w:oddHBand="0" w:evenHBand="0" w:firstRowFirstColumn="0" w:firstRowLastColumn="0" w:lastRowFirstColumn="0" w:lastRowLastColumn="0"/>
              <w:rPr>
                <w:rFonts w:cs="Arial"/>
                <w:sz w:val="22"/>
                <w:szCs w:val="20"/>
                <w:lang w:val="en-US"/>
              </w:rPr>
            </w:pPr>
            <w:r w:rsidRPr="009A6F08">
              <w:rPr>
                <w:rFonts w:cs="Arial"/>
                <w:sz w:val="22"/>
                <w:szCs w:val="20"/>
                <w:lang w:val="en-US"/>
              </w:rPr>
              <w:t>2.15</w:t>
            </w:r>
          </w:p>
        </w:tc>
        <w:tc>
          <w:tcPr>
            <w:tcW w:w="2180" w:type="dxa"/>
          </w:tcPr>
          <w:p w14:paraId="1FDFC52A" w14:textId="77777777" w:rsidR="00B97CC4" w:rsidRPr="009A6F08" w:rsidRDefault="00B97CC4" w:rsidP="00F721B7">
            <w:pPr>
              <w:ind w:right="680"/>
              <w:cnfStyle w:val="000000000000" w:firstRow="0" w:lastRow="0" w:firstColumn="0" w:lastColumn="0" w:oddVBand="0" w:evenVBand="0" w:oddHBand="0" w:evenHBand="0" w:firstRowFirstColumn="0" w:firstRowLastColumn="0" w:lastRowFirstColumn="0" w:lastRowLastColumn="0"/>
              <w:rPr>
                <w:rFonts w:cs="Arial"/>
                <w:sz w:val="22"/>
                <w:szCs w:val="20"/>
                <w:lang w:val="en-US"/>
              </w:rPr>
            </w:pPr>
            <w:r w:rsidRPr="009A6F08">
              <w:rPr>
                <w:rFonts w:cs="Arial"/>
                <w:sz w:val="22"/>
                <w:szCs w:val="20"/>
                <w:lang w:val="en-US"/>
              </w:rPr>
              <w:t>0.56</w:t>
            </w:r>
          </w:p>
        </w:tc>
      </w:tr>
      <w:tr w:rsidR="00B97CC4" w:rsidRPr="009A6F08" w14:paraId="0B04E10E"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7B0AF844" w14:textId="77777777" w:rsidR="00B97CC4" w:rsidRPr="009A6F08" w:rsidRDefault="00B97CC4" w:rsidP="00F721B7">
            <w:pPr>
              <w:jc w:val="center"/>
              <w:rPr>
                <w:rFonts w:cs="Arial"/>
                <w:sz w:val="22"/>
                <w:szCs w:val="20"/>
                <w:lang w:val="en-US"/>
              </w:rPr>
            </w:pPr>
            <w:r w:rsidRPr="009A6F08">
              <w:rPr>
                <w:rFonts w:cs="Arial"/>
                <w:sz w:val="22"/>
                <w:szCs w:val="20"/>
                <w:lang w:val="en-US"/>
              </w:rPr>
              <w:t>1980-1990</w:t>
            </w:r>
          </w:p>
        </w:tc>
        <w:tc>
          <w:tcPr>
            <w:tcW w:w="2180" w:type="dxa"/>
          </w:tcPr>
          <w:p w14:paraId="6EE33499" w14:textId="77777777" w:rsidR="00B97CC4" w:rsidRPr="009A6F08" w:rsidRDefault="00B97CC4" w:rsidP="00F721B7">
            <w:pPr>
              <w:ind w:right="680"/>
              <w:cnfStyle w:val="000000000000" w:firstRow="0" w:lastRow="0" w:firstColumn="0" w:lastColumn="0" w:oddVBand="0" w:evenVBand="0" w:oddHBand="0" w:evenHBand="0" w:firstRowFirstColumn="0" w:firstRowLastColumn="0" w:lastRowFirstColumn="0" w:lastRowLastColumn="0"/>
              <w:rPr>
                <w:rFonts w:cs="Arial"/>
                <w:sz w:val="22"/>
                <w:szCs w:val="20"/>
                <w:lang w:val="en-US"/>
              </w:rPr>
            </w:pPr>
            <w:r w:rsidRPr="009A6F08">
              <w:rPr>
                <w:rFonts w:cs="Arial"/>
                <w:sz w:val="22"/>
                <w:szCs w:val="20"/>
                <w:lang w:val="en-US"/>
              </w:rPr>
              <w:t>–1.73</w:t>
            </w:r>
          </w:p>
        </w:tc>
        <w:tc>
          <w:tcPr>
            <w:tcW w:w="2180" w:type="dxa"/>
          </w:tcPr>
          <w:p w14:paraId="1D65C101" w14:textId="77777777" w:rsidR="00B97CC4" w:rsidRPr="009A6F08" w:rsidRDefault="00B97CC4" w:rsidP="00F721B7">
            <w:pPr>
              <w:ind w:right="680"/>
              <w:cnfStyle w:val="000000000000" w:firstRow="0" w:lastRow="0" w:firstColumn="0" w:lastColumn="0" w:oddVBand="0" w:evenVBand="0" w:oddHBand="0" w:evenHBand="0" w:firstRowFirstColumn="0" w:firstRowLastColumn="0" w:lastRowFirstColumn="0" w:lastRowLastColumn="0"/>
              <w:rPr>
                <w:rFonts w:cs="Arial"/>
                <w:sz w:val="22"/>
                <w:szCs w:val="20"/>
                <w:lang w:val="en-US"/>
              </w:rPr>
            </w:pPr>
            <w:r w:rsidRPr="009A6F08">
              <w:rPr>
                <w:rFonts w:cs="Arial"/>
                <w:sz w:val="22"/>
                <w:szCs w:val="20"/>
                <w:lang w:val="en-US"/>
              </w:rPr>
              <w:t>0.55</w:t>
            </w:r>
          </w:p>
        </w:tc>
        <w:tc>
          <w:tcPr>
            <w:tcW w:w="2180" w:type="dxa"/>
          </w:tcPr>
          <w:p w14:paraId="63A9FABC" w14:textId="77777777" w:rsidR="00B97CC4" w:rsidRPr="009A6F08" w:rsidRDefault="00B97CC4" w:rsidP="00F721B7">
            <w:pPr>
              <w:ind w:right="680"/>
              <w:cnfStyle w:val="000000000000" w:firstRow="0" w:lastRow="0" w:firstColumn="0" w:lastColumn="0" w:oddVBand="0" w:evenVBand="0" w:oddHBand="0" w:evenHBand="0" w:firstRowFirstColumn="0" w:firstRowLastColumn="0" w:lastRowFirstColumn="0" w:lastRowLastColumn="0"/>
              <w:rPr>
                <w:rFonts w:cs="Arial"/>
                <w:sz w:val="22"/>
                <w:szCs w:val="20"/>
                <w:lang w:val="en-US"/>
              </w:rPr>
            </w:pPr>
            <w:r w:rsidRPr="009A6F08">
              <w:rPr>
                <w:rFonts w:cs="Arial"/>
                <w:sz w:val="22"/>
                <w:szCs w:val="20"/>
                <w:lang w:val="en-US"/>
              </w:rPr>
              <w:t>–0.20</w:t>
            </w:r>
          </w:p>
        </w:tc>
      </w:tr>
      <w:tr w:rsidR="00B97CC4" w:rsidRPr="009A6F08" w14:paraId="11E4DB47"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119" w:type="dxa"/>
          </w:tcPr>
          <w:p w14:paraId="553A98FF" w14:textId="77777777" w:rsidR="00B97CC4" w:rsidRPr="009A6F08" w:rsidRDefault="00B97CC4" w:rsidP="00F721B7">
            <w:pPr>
              <w:rPr>
                <w:rFonts w:cs="Arial"/>
                <w:sz w:val="22"/>
                <w:szCs w:val="20"/>
                <w:lang w:val="en-US"/>
              </w:rPr>
            </w:pPr>
          </w:p>
        </w:tc>
        <w:tc>
          <w:tcPr>
            <w:tcW w:w="2180" w:type="dxa"/>
          </w:tcPr>
          <w:p w14:paraId="440C5058" w14:textId="77777777" w:rsidR="00B97CC4" w:rsidRPr="009A6F08" w:rsidRDefault="00B97CC4"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0"/>
                <w:lang w:val="en-US"/>
              </w:rPr>
            </w:pPr>
          </w:p>
        </w:tc>
        <w:tc>
          <w:tcPr>
            <w:tcW w:w="2180" w:type="dxa"/>
          </w:tcPr>
          <w:p w14:paraId="2773146A" w14:textId="77777777" w:rsidR="00B97CC4" w:rsidRPr="009A6F08" w:rsidRDefault="00B97CC4"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0"/>
                <w:lang w:val="en-US"/>
              </w:rPr>
            </w:pPr>
          </w:p>
        </w:tc>
        <w:tc>
          <w:tcPr>
            <w:tcW w:w="2180" w:type="dxa"/>
          </w:tcPr>
          <w:p w14:paraId="04E2F530" w14:textId="77777777" w:rsidR="00B97CC4" w:rsidRPr="009A6F08" w:rsidRDefault="00B97CC4" w:rsidP="00F721B7">
            <w:pPr>
              <w:jc w:val="left"/>
              <w:cnfStyle w:val="000000000000" w:firstRow="0" w:lastRow="0" w:firstColumn="0" w:lastColumn="0" w:oddVBand="0" w:evenVBand="0" w:oddHBand="0" w:evenHBand="0" w:firstRowFirstColumn="0" w:firstRowLastColumn="0" w:lastRowFirstColumn="0" w:lastRowLastColumn="0"/>
              <w:rPr>
                <w:rFonts w:cs="Arial"/>
                <w:sz w:val="22"/>
                <w:szCs w:val="20"/>
                <w:lang w:val="en-US"/>
              </w:rPr>
            </w:pPr>
          </w:p>
        </w:tc>
      </w:tr>
    </w:tbl>
    <w:p w14:paraId="13BCE60C" w14:textId="77777777" w:rsidR="00B97CC4" w:rsidRPr="009A6F08" w:rsidRDefault="00B97CC4" w:rsidP="00B97CC4">
      <w:pPr>
        <w:spacing w:line="240" w:lineRule="auto"/>
        <w:jc w:val="left"/>
        <w:rPr>
          <w:rFonts w:cs="Arial"/>
          <w:b/>
          <w:sz w:val="20"/>
          <w:szCs w:val="20"/>
          <w:lang w:val="en-US"/>
        </w:rPr>
      </w:pPr>
    </w:p>
    <w:p w14:paraId="50D21720" w14:textId="77777777" w:rsidR="00B97CC4" w:rsidRPr="009A6F08" w:rsidRDefault="00B97CC4" w:rsidP="00B97CC4">
      <w:pPr>
        <w:spacing w:line="240" w:lineRule="auto"/>
        <w:ind w:left="709" w:hanging="709"/>
        <w:rPr>
          <w:rFonts w:cs="Arial"/>
          <w:sz w:val="20"/>
          <w:szCs w:val="20"/>
          <w:lang w:val="en-US"/>
        </w:rPr>
      </w:pPr>
      <w:r w:rsidRPr="009A6F08">
        <w:rPr>
          <w:rFonts w:cs="Arial"/>
          <w:i/>
          <w:sz w:val="20"/>
          <w:szCs w:val="20"/>
        </w:rPr>
        <w:t xml:space="preserve">Sources: </w:t>
      </w:r>
      <w:r w:rsidRPr="009A6F08">
        <w:rPr>
          <w:rFonts w:cs="Arial"/>
          <w:sz w:val="20"/>
          <w:szCs w:val="20"/>
        </w:rPr>
        <w:t xml:space="preserve">INE, </w:t>
      </w:r>
      <w:r w:rsidRPr="009A6F08">
        <w:rPr>
          <w:rFonts w:cs="Arial"/>
          <w:i/>
          <w:sz w:val="20"/>
          <w:szCs w:val="20"/>
        </w:rPr>
        <w:t>Encuesta de presupuestos familiares</w:t>
      </w:r>
      <w:r w:rsidRPr="009A6F08">
        <w:rPr>
          <w:rFonts w:cs="Arial"/>
          <w:sz w:val="20"/>
          <w:szCs w:val="20"/>
        </w:rPr>
        <w:t xml:space="preserve">; MAPA, </w:t>
      </w:r>
      <w:r w:rsidRPr="009A6F08">
        <w:rPr>
          <w:rFonts w:cs="Arial"/>
          <w:i/>
          <w:sz w:val="20"/>
          <w:szCs w:val="20"/>
        </w:rPr>
        <w:t>Consumo alimentario</w:t>
      </w:r>
      <w:r w:rsidRPr="009A6F08">
        <w:rPr>
          <w:rFonts w:cs="Arial"/>
          <w:sz w:val="20"/>
          <w:szCs w:val="20"/>
        </w:rPr>
        <w:t xml:space="preserve">; figure 3. </w:t>
      </w:r>
      <w:r w:rsidRPr="009A6F08">
        <w:rPr>
          <w:rFonts w:cs="Arial"/>
          <w:sz w:val="20"/>
          <w:szCs w:val="20"/>
          <w:lang w:val="en-US"/>
        </w:rPr>
        <w:t>See main text for details.</w:t>
      </w:r>
    </w:p>
    <w:p w14:paraId="0B11B3D4" w14:textId="77777777" w:rsidR="00BD7193" w:rsidRDefault="00BD7193" w:rsidP="00317355">
      <w:pPr>
        <w:spacing w:line="240" w:lineRule="auto"/>
        <w:rPr>
          <w:rFonts w:cs="Arial"/>
          <w:b/>
          <w:sz w:val="22"/>
          <w:szCs w:val="22"/>
          <w:lang w:val="en-US"/>
        </w:rPr>
      </w:pPr>
    </w:p>
    <w:p w14:paraId="6282DDB0" w14:textId="77777777" w:rsidR="00BD7193" w:rsidRDefault="00BD7193" w:rsidP="00317355">
      <w:pPr>
        <w:spacing w:line="240" w:lineRule="auto"/>
        <w:rPr>
          <w:rFonts w:cs="Arial"/>
          <w:b/>
          <w:sz w:val="22"/>
          <w:szCs w:val="22"/>
          <w:lang w:val="en-US"/>
        </w:rPr>
      </w:pPr>
    </w:p>
    <w:p w14:paraId="23CE9DB5" w14:textId="77777777" w:rsidR="00BD7193" w:rsidRDefault="00BD7193" w:rsidP="00317355">
      <w:pPr>
        <w:spacing w:line="240" w:lineRule="auto"/>
        <w:rPr>
          <w:rFonts w:cs="Arial"/>
          <w:b/>
          <w:sz w:val="22"/>
          <w:szCs w:val="22"/>
          <w:lang w:val="en-US"/>
        </w:rPr>
      </w:pPr>
    </w:p>
    <w:p w14:paraId="5AC2DDB2" w14:textId="517F82ED" w:rsidR="00317355" w:rsidRPr="009A6F08" w:rsidRDefault="00317355" w:rsidP="00317355">
      <w:pPr>
        <w:spacing w:line="240" w:lineRule="auto"/>
        <w:rPr>
          <w:rFonts w:cs="Arial"/>
          <w:i/>
          <w:sz w:val="22"/>
          <w:szCs w:val="22"/>
          <w:lang w:val="en-US"/>
        </w:rPr>
      </w:pPr>
      <w:r w:rsidRPr="009A6F08">
        <w:rPr>
          <w:rFonts w:cs="Arial"/>
          <w:b/>
          <w:sz w:val="22"/>
          <w:szCs w:val="22"/>
          <w:lang w:val="en-US"/>
        </w:rPr>
        <w:t xml:space="preserve">Table 7. </w:t>
      </w:r>
      <w:r w:rsidRPr="009A6F08">
        <w:rPr>
          <w:rFonts w:cs="Arial"/>
          <w:i/>
          <w:sz w:val="22"/>
          <w:szCs w:val="22"/>
          <w:lang w:val="en-US"/>
        </w:rPr>
        <w:t>Price transmission along the milk chain (constant 2013 euros per litre)</w:t>
      </w:r>
    </w:p>
    <w:p w14:paraId="00BFE649" w14:textId="77777777" w:rsidR="00317355" w:rsidRPr="009A6F08" w:rsidRDefault="00317355" w:rsidP="00317355">
      <w:pPr>
        <w:spacing w:line="240" w:lineRule="auto"/>
        <w:ind w:left="794" w:hanging="794"/>
        <w:rPr>
          <w:rFonts w:cs="Arial"/>
          <w:b/>
          <w:sz w:val="22"/>
          <w:szCs w:val="22"/>
          <w:lang w:val="en-US"/>
        </w:rPr>
      </w:pPr>
    </w:p>
    <w:tbl>
      <w:tblPr>
        <w:tblStyle w:val="CJE"/>
        <w:tblW w:w="8505" w:type="dxa"/>
        <w:jc w:val="center"/>
        <w:tblLayout w:type="fixed"/>
        <w:tblLook w:val="04A0" w:firstRow="1" w:lastRow="0" w:firstColumn="1" w:lastColumn="0" w:noHBand="0" w:noVBand="1"/>
      </w:tblPr>
      <w:tblGrid>
        <w:gridCol w:w="2523"/>
        <w:gridCol w:w="854"/>
        <w:gridCol w:w="854"/>
        <w:gridCol w:w="854"/>
        <w:gridCol w:w="855"/>
        <w:gridCol w:w="855"/>
        <w:gridCol w:w="855"/>
        <w:gridCol w:w="855"/>
      </w:tblGrid>
      <w:tr w:rsidR="00317355" w:rsidRPr="009A6F08" w14:paraId="27542105" w14:textId="77777777" w:rsidTr="00F721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23" w:type="dxa"/>
          </w:tcPr>
          <w:p w14:paraId="5CF23238" w14:textId="77777777" w:rsidR="00317355" w:rsidRPr="009A6F08" w:rsidRDefault="00317355" w:rsidP="00F721B7">
            <w:pPr>
              <w:jc w:val="left"/>
              <w:rPr>
                <w:rFonts w:cs="Arial"/>
                <w:sz w:val="22"/>
                <w:szCs w:val="22"/>
                <w:lang w:val="en-US"/>
              </w:rPr>
            </w:pPr>
          </w:p>
        </w:tc>
        <w:tc>
          <w:tcPr>
            <w:tcW w:w="854" w:type="dxa"/>
          </w:tcPr>
          <w:p w14:paraId="527D74EC" w14:textId="77777777" w:rsidR="00317355" w:rsidRPr="009A6F08" w:rsidRDefault="0031735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1964</w:t>
            </w:r>
          </w:p>
        </w:tc>
        <w:tc>
          <w:tcPr>
            <w:tcW w:w="854" w:type="dxa"/>
          </w:tcPr>
          <w:p w14:paraId="31FB5A3A" w14:textId="77777777" w:rsidR="00317355" w:rsidRPr="009A6F08" w:rsidRDefault="0031735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1973</w:t>
            </w:r>
          </w:p>
        </w:tc>
        <w:tc>
          <w:tcPr>
            <w:tcW w:w="854" w:type="dxa"/>
          </w:tcPr>
          <w:p w14:paraId="12C12A68" w14:textId="77777777" w:rsidR="00317355" w:rsidRPr="009A6F08" w:rsidRDefault="0031735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1980</w:t>
            </w:r>
          </w:p>
        </w:tc>
        <w:tc>
          <w:tcPr>
            <w:tcW w:w="855" w:type="dxa"/>
          </w:tcPr>
          <w:p w14:paraId="17848843" w14:textId="77777777" w:rsidR="00317355" w:rsidRPr="009A6F08" w:rsidRDefault="0031735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1990</w:t>
            </w:r>
          </w:p>
        </w:tc>
        <w:tc>
          <w:tcPr>
            <w:tcW w:w="2565" w:type="dxa"/>
            <w:gridSpan w:val="3"/>
          </w:tcPr>
          <w:p w14:paraId="526C39D2" w14:textId="77777777" w:rsidR="00317355" w:rsidRPr="009A6F08" w:rsidRDefault="0031735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 xml:space="preserve">Annual compound rate </w:t>
            </w:r>
          </w:p>
          <w:p w14:paraId="1CF31212" w14:textId="77777777" w:rsidR="00317355" w:rsidRPr="009A6F08" w:rsidRDefault="0031735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of change (%)</w:t>
            </w:r>
          </w:p>
          <w:tbl>
            <w:tblPr>
              <w:tblStyle w:val="HistAgr"/>
              <w:tblW w:w="0" w:type="auto"/>
              <w:tblBorders>
                <w:top w:val="single" w:sz="4" w:space="0" w:color="000000" w:themeColor="text1"/>
                <w:bottom w:val="none" w:sz="0" w:space="0" w:color="auto"/>
              </w:tblBorders>
              <w:tblLayout w:type="fixed"/>
              <w:tblLook w:val="04A0" w:firstRow="1" w:lastRow="0" w:firstColumn="1" w:lastColumn="0" w:noHBand="0" w:noVBand="1"/>
            </w:tblPr>
            <w:tblGrid>
              <w:gridCol w:w="783"/>
              <w:gridCol w:w="783"/>
              <w:gridCol w:w="783"/>
            </w:tblGrid>
            <w:tr w:rsidR="00317355" w:rsidRPr="009A6F08" w14:paraId="5EF63B83" w14:textId="77777777" w:rsidTr="00F72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08FBC8" w14:textId="77777777" w:rsidR="00317355" w:rsidRPr="009A6F08" w:rsidRDefault="00317355" w:rsidP="00F721B7">
                  <w:pPr>
                    <w:rPr>
                      <w:rFonts w:cs="Arial"/>
                      <w:sz w:val="22"/>
                      <w:szCs w:val="22"/>
                      <w:lang w:val="en-US"/>
                    </w:rPr>
                  </w:pPr>
                  <w:r w:rsidRPr="009A6F08">
                    <w:rPr>
                      <w:rFonts w:cs="Arial"/>
                      <w:sz w:val="22"/>
                      <w:szCs w:val="22"/>
                      <w:lang w:val="en-US"/>
                    </w:rPr>
                    <w:t>1964-1973</w:t>
                  </w:r>
                </w:p>
              </w:tc>
              <w:tc>
                <w:tcPr>
                  <w:tcW w:w="7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AFE6D2" w14:textId="77777777" w:rsidR="00317355" w:rsidRPr="009A6F08" w:rsidRDefault="0031735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1973-1980</w:t>
                  </w:r>
                </w:p>
              </w:tc>
              <w:tc>
                <w:tcPr>
                  <w:tcW w:w="7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36E4DA" w14:textId="77777777" w:rsidR="00317355" w:rsidRPr="009A6F08" w:rsidRDefault="0031735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1980-1990</w:t>
                  </w:r>
                </w:p>
              </w:tc>
            </w:tr>
          </w:tbl>
          <w:p w14:paraId="2755F2E6" w14:textId="77777777" w:rsidR="00317355" w:rsidRPr="009A6F08" w:rsidRDefault="00317355"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p>
        </w:tc>
      </w:tr>
      <w:tr w:rsidR="00317355" w:rsidRPr="009A6F08" w14:paraId="2D6125A6"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523" w:type="dxa"/>
          </w:tcPr>
          <w:p w14:paraId="618390E2" w14:textId="77777777" w:rsidR="00317355" w:rsidRPr="009A6F08" w:rsidRDefault="00317355" w:rsidP="00F721B7">
            <w:pPr>
              <w:rPr>
                <w:rFonts w:cs="Arial"/>
                <w:sz w:val="22"/>
                <w:szCs w:val="22"/>
                <w:lang w:val="en-US"/>
              </w:rPr>
            </w:pPr>
          </w:p>
        </w:tc>
        <w:tc>
          <w:tcPr>
            <w:tcW w:w="854" w:type="dxa"/>
          </w:tcPr>
          <w:p w14:paraId="0F5A26AA" w14:textId="77777777" w:rsidR="00317355" w:rsidRPr="009A6F08" w:rsidRDefault="00317355"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4" w:type="dxa"/>
          </w:tcPr>
          <w:p w14:paraId="108A0534" w14:textId="77777777" w:rsidR="00317355" w:rsidRPr="009A6F08" w:rsidRDefault="00317355"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4" w:type="dxa"/>
          </w:tcPr>
          <w:p w14:paraId="19F64D45" w14:textId="77777777" w:rsidR="00317355" w:rsidRPr="009A6F08" w:rsidRDefault="00317355"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5" w:type="dxa"/>
          </w:tcPr>
          <w:p w14:paraId="18FF1E72" w14:textId="77777777" w:rsidR="00317355" w:rsidRPr="009A6F08" w:rsidRDefault="00317355"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5" w:type="dxa"/>
          </w:tcPr>
          <w:p w14:paraId="0E3FAEBE" w14:textId="77777777" w:rsidR="00317355" w:rsidRPr="009A6F08" w:rsidRDefault="00317355"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5" w:type="dxa"/>
          </w:tcPr>
          <w:p w14:paraId="3C1F72C2" w14:textId="77777777" w:rsidR="00317355" w:rsidRPr="009A6F08" w:rsidRDefault="00317355"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5" w:type="dxa"/>
          </w:tcPr>
          <w:p w14:paraId="1D825E1C" w14:textId="77777777" w:rsidR="00317355" w:rsidRPr="009A6F08" w:rsidRDefault="00317355"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317355" w:rsidRPr="009A6F08" w14:paraId="4A14E0D9"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523" w:type="dxa"/>
          </w:tcPr>
          <w:p w14:paraId="02EE241B" w14:textId="77777777" w:rsidR="00317355" w:rsidRPr="009A6F08" w:rsidRDefault="00317355" w:rsidP="00F721B7">
            <w:pPr>
              <w:ind w:firstLine="177"/>
              <w:rPr>
                <w:rFonts w:cs="Arial"/>
                <w:sz w:val="22"/>
                <w:szCs w:val="22"/>
                <w:lang w:val="en-US"/>
              </w:rPr>
            </w:pPr>
            <w:r w:rsidRPr="009A6F08">
              <w:rPr>
                <w:rFonts w:cs="Arial"/>
                <w:sz w:val="22"/>
                <w:szCs w:val="22"/>
                <w:lang w:val="en-US"/>
              </w:rPr>
              <w:t>Farmer price (</w:t>
            </w:r>
            <w:r w:rsidRPr="009A6F08">
              <w:rPr>
                <w:rFonts w:cs="Arial"/>
                <w:i/>
                <w:sz w:val="22"/>
                <w:szCs w:val="22"/>
                <w:lang w:val="en-US"/>
              </w:rPr>
              <w:t>A</w:t>
            </w:r>
            <w:r w:rsidRPr="009A6F08">
              <w:rPr>
                <w:rFonts w:cs="Arial"/>
                <w:sz w:val="22"/>
                <w:szCs w:val="22"/>
                <w:lang w:val="en-US"/>
              </w:rPr>
              <w:t>)</w:t>
            </w:r>
          </w:p>
        </w:tc>
        <w:tc>
          <w:tcPr>
            <w:tcW w:w="854" w:type="dxa"/>
          </w:tcPr>
          <w:p w14:paraId="04EBC846"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0.95</w:t>
            </w:r>
          </w:p>
        </w:tc>
        <w:tc>
          <w:tcPr>
            <w:tcW w:w="854" w:type="dxa"/>
          </w:tcPr>
          <w:p w14:paraId="646EDC34"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0.83</w:t>
            </w:r>
          </w:p>
        </w:tc>
        <w:tc>
          <w:tcPr>
            <w:tcW w:w="854" w:type="dxa"/>
          </w:tcPr>
          <w:p w14:paraId="0C029F43"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0.61</w:t>
            </w:r>
          </w:p>
        </w:tc>
        <w:tc>
          <w:tcPr>
            <w:tcW w:w="855" w:type="dxa"/>
          </w:tcPr>
          <w:p w14:paraId="5BA47281"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0.46</w:t>
            </w:r>
          </w:p>
        </w:tc>
        <w:tc>
          <w:tcPr>
            <w:tcW w:w="855" w:type="dxa"/>
          </w:tcPr>
          <w:p w14:paraId="4EC99C4C" w14:textId="77777777" w:rsidR="00317355" w:rsidRPr="009A6F08" w:rsidRDefault="00317355" w:rsidP="00F721B7">
            <w:pPr>
              <w:ind w:left="-638"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–1.5</w:t>
            </w:r>
          </w:p>
        </w:tc>
        <w:tc>
          <w:tcPr>
            <w:tcW w:w="855" w:type="dxa"/>
          </w:tcPr>
          <w:p w14:paraId="277DFCDB" w14:textId="77777777" w:rsidR="00317355" w:rsidRPr="009A6F08" w:rsidRDefault="00317355" w:rsidP="00F721B7">
            <w:pPr>
              <w:ind w:left="-641"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–4.4</w:t>
            </w:r>
          </w:p>
        </w:tc>
        <w:tc>
          <w:tcPr>
            <w:tcW w:w="855" w:type="dxa"/>
          </w:tcPr>
          <w:p w14:paraId="275A30F5" w14:textId="77777777" w:rsidR="00317355" w:rsidRPr="009A6F08" w:rsidRDefault="00317355" w:rsidP="00F721B7">
            <w:pPr>
              <w:ind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–2.7</w:t>
            </w:r>
          </w:p>
        </w:tc>
      </w:tr>
      <w:tr w:rsidR="00317355" w:rsidRPr="009A6F08" w14:paraId="0374604E"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523" w:type="dxa"/>
          </w:tcPr>
          <w:p w14:paraId="1E02C75D" w14:textId="77777777" w:rsidR="00317355" w:rsidRPr="009A6F08" w:rsidRDefault="00317355" w:rsidP="00F721B7">
            <w:pPr>
              <w:ind w:firstLine="177"/>
              <w:rPr>
                <w:rFonts w:cs="Arial"/>
                <w:sz w:val="22"/>
                <w:szCs w:val="22"/>
                <w:lang w:val="en-US"/>
              </w:rPr>
            </w:pPr>
            <w:r w:rsidRPr="009A6F08">
              <w:rPr>
                <w:rFonts w:cs="Arial"/>
                <w:sz w:val="22"/>
                <w:szCs w:val="22"/>
                <w:lang w:val="en-US"/>
              </w:rPr>
              <w:t>Processor price (</w:t>
            </w:r>
            <w:r w:rsidRPr="009A6F08">
              <w:rPr>
                <w:rFonts w:cs="Arial"/>
                <w:i/>
                <w:sz w:val="22"/>
                <w:szCs w:val="22"/>
                <w:lang w:val="en-US"/>
              </w:rPr>
              <w:t>B</w:t>
            </w:r>
            <w:r w:rsidRPr="009A6F08">
              <w:rPr>
                <w:rFonts w:cs="Arial"/>
                <w:sz w:val="22"/>
                <w:szCs w:val="22"/>
                <w:lang w:val="en-US"/>
              </w:rPr>
              <w:t>)</w:t>
            </w:r>
          </w:p>
        </w:tc>
        <w:tc>
          <w:tcPr>
            <w:tcW w:w="854" w:type="dxa"/>
          </w:tcPr>
          <w:p w14:paraId="6BA70F27"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1.12</w:t>
            </w:r>
          </w:p>
        </w:tc>
        <w:tc>
          <w:tcPr>
            <w:tcW w:w="854" w:type="dxa"/>
          </w:tcPr>
          <w:p w14:paraId="02FD393E"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1.12</w:t>
            </w:r>
          </w:p>
        </w:tc>
        <w:tc>
          <w:tcPr>
            <w:tcW w:w="854" w:type="dxa"/>
          </w:tcPr>
          <w:p w14:paraId="4789AC8E"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0.94</w:t>
            </w:r>
          </w:p>
        </w:tc>
        <w:tc>
          <w:tcPr>
            <w:tcW w:w="855" w:type="dxa"/>
          </w:tcPr>
          <w:p w14:paraId="07ADA3CD"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0.93</w:t>
            </w:r>
          </w:p>
        </w:tc>
        <w:tc>
          <w:tcPr>
            <w:tcW w:w="855" w:type="dxa"/>
          </w:tcPr>
          <w:p w14:paraId="2B719C48" w14:textId="77777777" w:rsidR="00317355" w:rsidRPr="009A6F08" w:rsidRDefault="00317355" w:rsidP="00F721B7">
            <w:pPr>
              <w:ind w:left="-638"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0.0</w:t>
            </w:r>
          </w:p>
        </w:tc>
        <w:tc>
          <w:tcPr>
            <w:tcW w:w="855" w:type="dxa"/>
          </w:tcPr>
          <w:p w14:paraId="40854176" w14:textId="77777777" w:rsidR="00317355" w:rsidRPr="009A6F08" w:rsidRDefault="00317355" w:rsidP="00F721B7">
            <w:pPr>
              <w:ind w:left="-641"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–2.5</w:t>
            </w:r>
          </w:p>
        </w:tc>
        <w:tc>
          <w:tcPr>
            <w:tcW w:w="855" w:type="dxa"/>
          </w:tcPr>
          <w:p w14:paraId="532D1466" w14:textId="77777777" w:rsidR="00317355" w:rsidRPr="009A6F08" w:rsidRDefault="00317355" w:rsidP="00F721B7">
            <w:pPr>
              <w:ind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–0.1</w:t>
            </w:r>
          </w:p>
        </w:tc>
      </w:tr>
      <w:tr w:rsidR="00317355" w:rsidRPr="009A6F08" w14:paraId="3C1540A8"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523" w:type="dxa"/>
          </w:tcPr>
          <w:p w14:paraId="229F3C3F" w14:textId="77777777" w:rsidR="00317355" w:rsidRPr="009A6F08" w:rsidRDefault="00317355" w:rsidP="00F721B7">
            <w:pPr>
              <w:ind w:firstLine="177"/>
              <w:rPr>
                <w:rFonts w:cs="Arial"/>
                <w:sz w:val="22"/>
                <w:szCs w:val="22"/>
                <w:lang w:val="en-US"/>
              </w:rPr>
            </w:pPr>
            <w:r w:rsidRPr="009A6F08">
              <w:rPr>
                <w:rFonts w:cs="Arial"/>
                <w:sz w:val="22"/>
                <w:szCs w:val="22"/>
                <w:lang w:val="en-US"/>
              </w:rPr>
              <w:t>Consumer price (</w:t>
            </w:r>
            <w:r w:rsidRPr="009A6F08">
              <w:rPr>
                <w:rFonts w:cs="Arial"/>
                <w:i/>
                <w:sz w:val="22"/>
                <w:szCs w:val="22"/>
                <w:lang w:val="en-US"/>
              </w:rPr>
              <w:t>C</w:t>
            </w:r>
            <w:r w:rsidRPr="009A6F08">
              <w:rPr>
                <w:rFonts w:cs="Arial"/>
                <w:sz w:val="22"/>
                <w:szCs w:val="22"/>
                <w:lang w:val="en-US"/>
              </w:rPr>
              <w:t>)</w:t>
            </w:r>
          </w:p>
        </w:tc>
        <w:tc>
          <w:tcPr>
            <w:tcW w:w="854" w:type="dxa"/>
          </w:tcPr>
          <w:p w14:paraId="51D7014C"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1.24</w:t>
            </w:r>
          </w:p>
        </w:tc>
        <w:tc>
          <w:tcPr>
            <w:tcW w:w="854" w:type="dxa"/>
          </w:tcPr>
          <w:p w14:paraId="4059943B"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1.33</w:t>
            </w:r>
          </w:p>
        </w:tc>
        <w:tc>
          <w:tcPr>
            <w:tcW w:w="854" w:type="dxa"/>
          </w:tcPr>
          <w:p w14:paraId="47986A2F"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1.09</w:t>
            </w:r>
          </w:p>
        </w:tc>
        <w:tc>
          <w:tcPr>
            <w:tcW w:w="855" w:type="dxa"/>
          </w:tcPr>
          <w:p w14:paraId="3D2E633E"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1.00</w:t>
            </w:r>
          </w:p>
        </w:tc>
        <w:tc>
          <w:tcPr>
            <w:tcW w:w="855" w:type="dxa"/>
          </w:tcPr>
          <w:p w14:paraId="37A21704" w14:textId="77777777" w:rsidR="00317355" w:rsidRPr="009A6F08" w:rsidRDefault="00317355" w:rsidP="00F721B7">
            <w:pPr>
              <w:ind w:left="-638"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0.8</w:t>
            </w:r>
          </w:p>
        </w:tc>
        <w:tc>
          <w:tcPr>
            <w:tcW w:w="855" w:type="dxa"/>
          </w:tcPr>
          <w:p w14:paraId="6059D7F5" w14:textId="77777777" w:rsidR="00317355" w:rsidRPr="009A6F08" w:rsidRDefault="00317355" w:rsidP="00F721B7">
            <w:pPr>
              <w:ind w:left="-641"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–2.8</w:t>
            </w:r>
          </w:p>
        </w:tc>
        <w:tc>
          <w:tcPr>
            <w:tcW w:w="855" w:type="dxa"/>
          </w:tcPr>
          <w:p w14:paraId="71BEB43B" w14:textId="77777777" w:rsidR="00317355" w:rsidRPr="009A6F08" w:rsidRDefault="00317355" w:rsidP="00F721B7">
            <w:pPr>
              <w:ind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–0.8</w:t>
            </w:r>
          </w:p>
        </w:tc>
      </w:tr>
      <w:tr w:rsidR="00317355" w:rsidRPr="009A6F08" w14:paraId="4A2416AB"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523" w:type="dxa"/>
          </w:tcPr>
          <w:p w14:paraId="165E4560" w14:textId="77777777" w:rsidR="00317355" w:rsidRPr="009A6F08" w:rsidRDefault="00317355" w:rsidP="00F721B7">
            <w:pPr>
              <w:ind w:firstLine="177"/>
              <w:rPr>
                <w:rFonts w:cs="Arial"/>
                <w:sz w:val="22"/>
                <w:szCs w:val="22"/>
                <w:lang w:val="en-US"/>
              </w:rPr>
            </w:pPr>
          </w:p>
        </w:tc>
        <w:tc>
          <w:tcPr>
            <w:tcW w:w="854" w:type="dxa"/>
          </w:tcPr>
          <w:p w14:paraId="39982D45"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4" w:type="dxa"/>
          </w:tcPr>
          <w:p w14:paraId="1E0D8F27"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4" w:type="dxa"/>
          </w:tcPr>
          <w:p w14:paraId="093991E7"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5" w:type="dxa"/>
          </w:tcPr>
          <w:p w14:paraId="009F1061"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5" w:type="dxa"/>
          </w:tcPr>
          <w:p w14:paraId="71441B53" w14:textId="77777777" w:rsidR="00317355" w:rsidRPr="009A6F08" w:rsidRDefault="00317355" w:rsidP="00F721B7">
            <w:pPr>
              <w:ind w:left="-638"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5" w:type="dxa"/>
          </w:tcPr>
          <w:p w14:paraId="5CD920EF" w14:textId="77777777" w:rsidR="00317355" w:rsidRPr="009A6F08" w:rsidRDefault="00317355" w:rsidP="00F721B7">
            <w:pPr>
              <w:ind w:left="-641"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855" w:type="dxa"/>
          </w:tcPr>
          <w:p w14:paraId="10D157DB" w14:textId="77777777" w:rsidR="00317355" w:rsidRPr="009A6F08" w:rsidRDefault="00317355" w:rsidP="00F721B7">
            <w:pPr>
              <w:ind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317355" w:rsidRPr="009A6F08" w14:paraId="02FDBC8E"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523" w:type="dxa"/>
          </w:tcPr>
          <w:p w14:paraId="65867B1B" w14:textId="77777777" w:rsidR="00317355" w:rsidRPr="009A6F08" w:rsidRDefault="00317355" w:rsidP="00F721B7">
            <w:pPr>
              <w:ind w:left="602" w:hanging="425"/>
              <w:rPr>
                <w:rFonts w:cs="Arial"/>
                <w:sz w:val="22"/>
                <w:szCs w:val="22"/>
                <w:lang w:val="en-US"/>
              </w:rPr>
            </w:pPr>
            <w:r w:rsidRPr="009A6F08">
              <w:rPr>
                <w:rFonts w:cs="Arial"/>
                <w:sz w:val="22"/>
                <w:szCs w:val="22"/>
                <w:lang w:val="en-US"/>
              </w:rPr>
              <w:t>Processing costs and profits (</w:t>
            </w:r>
            <w:r w:rsidRPr="009A6F08">
              <w:rPr>
                <w:rFonts w:cs="Arial"/>
                <w:i/>
                <w:sz w:val="22"/>
                <w:szCs w:val="22"/>
                <w:lang w:val="en-US"/>
              </w:rPr>
              <w:t>B</w:t>
            </w:r>
            <w:r w:rsidRPr="009A6F08">
              <w:rPr>
                <w:rFonts w:cs="Arial"/>
                <w:sz w:val="22"/>
                <w:szCs w:val="22"/>
                <w:lang w:val="en-US"/>
              </w:rPr>
              <w:t xml:space="preserve"> – </w:t>
            </w:r>
            <w:r w:rsidRPr="009A6F08">
              <w:rPr>
                <w:rFonts w:cs="Arial"/>
                <w:i/>
                <w:sz w:val="22"/>
                <w:szCs w:val="22"/>
                <w:lang w:val="en-US"/>
              </w:rPr>
              <w:t>A</w:t>
            </w:r>
            <w:r w:rsidRPr="009A6F08">
              <w:rPr>
                <w:rFonts w:cs="Arial"/>
                <w:sz w:val="22"/>
                <w:szCs w:val="22"/>
                <w:lang w:val="en-US"/>
              </w:rPr>
              <w:t>)</w:t>
            </w:r>
          </w:p>
        </w:tc>
        <w:tc>
          <w:tcPr>
            <w:tcW w:w="854" w:type="dxa"/>
            <w:vAlign w:val="center"/>
          </w:tcPr>
          <w:p w14:paraId="732DA49B"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0.17</w:t>
            </w:r>
          </w:p>
        </w:tc>
        <w:tc>
          <w:tcPr>
            <w:tcW w:w="854" w:type="dxa"/>
            <w:vAlign w:val="center"/>
          </w:tcPr>
          <w:p w14:paraId="3910BA6E"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0.29</w:t>
            </w:r>
          </w:p>
        </w:tc>
        <w:tc>
          <w:tcPr>
            <w:tcW w:w="854" w:type="dxa"/>
            <w:vAlign w:val="center"/>
          </w:tcPr>
          <w:p w14:paraId="51CCEBFF"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0.33</w:t>
            </w:r>
          </w:p>
        </w:tc>
        <w:tc>
          <w:tcPr>
            <w:tcW w:w="855" w:type="dxa"/>
            <w:vAlign w:val="center"/>
          </w:tcPr>
          <w:p w14:paraId="3D866DE7"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0.47</w:t>
            </w:r>
          </w:p>
        </w:tc>
        <w:tc>
          <w:tcPr>
            <w:tcW w:w="855" w:type="dxa"/>
            <w:vAlign w:val="center"/>
          </w:tcPr>
          <w:p w14:paraId="69330FB5" w14:textId="77777777" w:rsidR="00317355" w:rsidRPr="009A6F08" w:rsidRDefault="00317355" w:rsidP="00F721B7">
            <w:pPr>
              <w:ind w:left="-638"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6.1</w:t>
            </w:r>
          </w:p>
        </w:tc>
        <w:tc>
          <w:tcPr>
            <w:tcW w:w="855" w:type="dxa"/>
            <w:vAlign w:val="center"/>
          </w:tcPr>
          <w:p w14:paraId="66EE75F5" w14:textId="77777777" w:rsidR="00317355" w:rsidRPr="009A6F08" w:rsidRDefault="00317355" w:rsidP="00F721B7">
            <w:pPr>
              <w:ind w:left="-641"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1.9</w:t>
            </w:r>
          </w:p>
        </w:tc>
        <w:tc>
          <w:tcPr>
            <w:tcW w:w="855" w:type="dxa"/>
            <w:vAlign w:val="center"/>
          </w:tcPr>
          <w:p w14:paraId="653024B9" w14:textId="77777777" w:rsidR="00317355" w:rsidRPr="009A6F08" w:rsidRDefault="00317355" w:rsidP="00F721B7">
            <w:pPr>
              <w:ind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3.6</w:t>
            </w:r>
          </w:p>
        </w:tc>
      </w:tr>
      <w:tr w:rsidR="00317355" w:rsidRPr="009A6F08" w14:paraId="46FE0656"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2523" w:type="dxa"/>
          </w:tcPr>
          <w:p w14:paraId="5B3743EA" w14:textId="77777777" w:rsidR="00317355" w:rsidRPr="009A6F08" w:rsidRDefault="00317355" w:rsidP="00F721B7">
            <w:pPr>
              <w:ind w:left="602" w:hanging="425"/>
              <w:rPr>
                <w:rFonts w:cs="Arial"/>
                <w:sz w:val="22"/>
                <w:szCs w:val="22"/>
                <w:lang w:val="en-US"/>
              </w:rPr>
            </w:pPr>
            <w:r w:rsidRPr="009A6F08">
              <w:rPr>
                <w:rFonts w:cs="Arial"/>
                <w:sz w:val="22"/>
                <w:szCs w:val="22"/>
                <w:lang w:val="en-US"/>
              </w:rPr>
              <w:t>Distribution costs and profits (</w:t>
            </w:r>
            <w:r w:rsidRPr="009A6F08">
              <w:rPr>
                <w:rFonts w:cs="Arial"/>
                <w:i/>
                <w:sz w:val="22"/>
                <w:szCs w:val="22"/>
                <w:lang w:val="en-US"/>
              </w:rPr>
              <w:t>C</w:t>
            </w:r>
            <w:r w:rsidRPr="009A6F08">
              <w:rPr>
                <w:rFonts w:cs="Arial"/>
                <w:sz w:val="22"/>
                <w:szCs w:val="22"/>
                <w:lang w:val="en-US"/>
              </w:rPr>
              <w:t xml:space="preserve"> – </w:t>
            </w:r>
            <w:r w:rsidRPr="009A6F08">
              <w:rPr>
                <w:rFonts w:cs="Arial"/>
                <w:i/>
                <w:sz w:val="22"/>
                <w:szCs w:val="22"/>
                <w:lang w:val="en-US"/>
              </w:rPr>
              <w:t>B</w:t>
            </w:r>
            <w:r w:rsidRPr="009A6F08">
              <w:rPr>
                <w:rFonts w:cs="Arial"/>
                <w:sz w:val="22"/>
                <w:szCs w:val="22"/>
                <w:lang w:val="en-US"/>
              </w:rPr>
              <w:t>)</w:t>
            </w:r>
          </w:p>
          <w:p w14:paraId="723547EA" w14:textId="77777777" w:rsidR="00317355" w:rsidRPr="009A6F08" w:rsidRDefault="00317355" w:rsidP="00F721B7">
            <w:pPr>
              <w:ind w:firstLine="177"/>
              <w:rPr>
                <w:rFonts w:cs="Arial"/>
                <w:sz w:val="22"/>
                <w:szCs w:val="22"/>
                <w:lang w:val="en-US"/>
              </w:rPr>
            </w:pPr>
          </w:p>
        </w:tc>
        <w:tc>
          <w:tcPr>
            <w:tcW w:w="854" w:type="dxa"/>
            <w:vAlign w:val="center"/>
          </w:tcPr>
          <w:p w14:paraId="0114E009"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0.12</w:t>
            </w:r>
          </w:p>
        </w:tc>
        <w:tc>
          <w:tcPr>
            <w:tcW w:w="854" w:type="dxa"/>
            <w:vAlign w:val="center"/>
          </w:tcPr>
          <w:p w14:paraId="18E36ED9"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0.21</w:t>
            </w:r>
          </w:p>
        </w:tc>
        <w:tc>
          <w:tcPr>
            <w:tcW w:w="854" w:type="dxa"/>
            <w:vAlign w:val="center"/>
          </w:tcPr>
          <w:p w14:paraId="68202970"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0.15</w:t>
            </w:r>
          </w:p>
        </w:tc>
        <w:tc>
          <w:tcPr>
            <w:tcW w:w="855" w:type="dxa"/>
            <w:vAlign w:val="center"/>
          </w:tcPr>
          <w:p w14:paraId="34E29248" w14:textId="77777777" w:rsidR="00317355" w:rsidRPr="009A6F08" w:rsidRDefault="00317355"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0.07</w:t>
            </w:r>
          </w:p>
        </w:tc>
        <w:tc>
          <w:tcPr>
            <w:tcW w:w="855" w:type="dxa"/>
            <w:vAlign w:val="center"/>
          </w:tcPr>
          <w:p w14:paraId="73129531" w14:textId="77777777" w:rsidR="00317355" w:rsidRPr="009A6F08" w:rsidRDefault="00317355" w:rsidP="00F721B7">
            <w:pPr>
              <w:ind w:left="-638"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6.4</w:t>
            </w:r>
          </w:p>
        </w:tc>
        <w:tc>
          <w:tcPr>
            <w:tcW w:w="855" w:type="dxa"/>
            <w:vAlign w:val="center"/>
          </w:tcPr>
          <w:p w14:paraId="2AF26C1E" w14:textId="77777777" w:rsidR="00317355" w:rsidRPr="009A6F08" w:rsidRDefault="00317355" w:rsidP="00F721B7">
            <w:pPr>
              <w:ind w:left="-641"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–4.7</w:t>
            </w:r>
          </w:p>
        </w:tc>
        <w:tc>
          <w:tcPr>
            <w:tcW w:w="855" w:type="dxa"/>
            <w:vAlign w:val="center"/>
          </w:tcPr>
          <w:p w14:paraId="312A835B" w14:textId="77777777" w:rsidR="00317355" w:rsidRPr="009A6F08" w:rsidRDefault="00317355" w:rsidP="00F721B7">
            <w:pPr>
              <w:ind w:right="170"/>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–7.3</w:t>
            </w:r>
          </w:p>
        </w:tc>
      </w:tr>
    </w:tbl>
    <w:p w14:paraId="1A45E7A3" w14:textId="77777777" w:rsidR="00317355" w:rsidRPr="009A6F08" w:rsidRDefault="00317355" w:rsidP="00317355">
      <w:pPr>
        <w:spacing w:line="240" w:lineRule="auto"/>
        <w:rPr>
          <w:rFonts w:cs="Arial"/>
          <w:sz w:val="20"/>
          <w:szCs w:val="20"/>
          <w:lang w:val="en-US"/>
        </w:rPr>
      </w:pPr>
    </w:p>
    <w:p w14:paraId="06D41C41" w14:textId="77777777" w:rsidR="00317355" w:rsidRPr="009A6F08" w:rsidRDefault="00317355" w:rsidP="00317355">
      <w:pPr>
        <w:spacing w:line="240" w:lineRule="auto"/>
        <w:ind w:left="709" w:hanging="709"/>
        <w:rPr>
          <w:rFonts w:cs="Arial"/>
          <w:sz w:val="20"/>
          <w:szCs w:val="20"/>
          <w:lang w:val="en-US"/>
        </w:rPr>
      </w:pPr>
      <w:r w:rsidRPr="009A6F08">
        <w:rPr>
          <w:rFonts w:cs="Arial"/>
          <w:i/>
          <w:sz w:val="20"/>
          <w:szCs w:val="20"/>
          <w:lang w:val="en-US"/>
        </w:rPr>
        <w:t>Sources:</w:t>
      </w:r>
      <w:r w:rsidRPr="009A6F08">
        <w:rPr>
          <w:rFonts w:cs="Arial"/>
          <w:sz w:val="20"/>
          <w:szCs w:val="20"/>
          <w:lang w:val="en-US"/>
        </w:rPr>
        <w:t xml:space="preserve"> farmer price: INE, </w:t>
      </w:r>
      <w:r w:rsidRPr="009A6F08">
        <w:rPr>
          <w:rFonts w:cs="Arial"/>
          <w:i/>
          <w:sz w:val="20"/>
          <w:szCs w:val="20"/>
          <w:lang w:val="en-US"/>
        </w:rPr>
        <w:t>Anuario</w:t>
      </w:r>
      <w:r w:rsidRPr="009A6F08">
        <w:rPr>
          <w:rFonts w:cs="Arial"/>
          <w:sz w:val="20"/>
          <w:szCs w:val="20"/>
          <w:lang w:val="en-US"/>
        </w:rPr>
        <w:t xml:space="preserve"> (1973, 1981 and 1991); processor price, 1964-1980 (monetary output divided by material output): INE, </w:t>
      </w:r>
      <w:r w:rsidRPr="009A6F08">
        <w:rPr>
          <w:rFonts w:cs="Arial"/>
          <w:i/>
          <w:sz w:val="20"/>
          <w:szCs w:val="20"/>
          <w:lang w:val="en-US"/>
        </w:rPr>
        <w:t>Anuario</w:t>
      </w:r>
      <w:r w:rsidRPr="009A6F08">
        <w:rPr>
          <w:rFonts w:cs="Arial"/>
          <w:sz w:val="20"/>
          <w:szCs w:val="20"/>
          <w:lang w:val="en-US"/>
        </w:rPr>
        <w:t xml:space="preserve"> (1966, 1975 and 1982); processor price, 1990 (triangulation of price transmission data for 1989 and real farmer and consumer prices for 1990): </w:t>
      </w:r>
      <w:r w:rsidRPr="009A6F08">
        <w:rPr>
          <w:rFonts w:cs="Arial"/>
          <w:i/>
          <w:sz w:val="20"/>
          <w:szCs w:val="20"/>
          <w:lang w:val="en-US"/>
        </w:rPr>
        <w:t>REL</w:t>
      </w:r>
      <w:r w:rsidRPr="009A6F08">
        <w:rPr>
          <w:rFonts w:cs="Arial"/>
          <w:sz w:val="20"/>
          <w:szCs w:val="20"/>
          <w:lang w:val="en-US"/>
        </w:rPr>
        <w:t xml:space="preserve">, ‘Informe’, p. 18; consumer price: INE, </w:t>
      </w:r>
      <w:r w:rsidRPr="009A6F08">
        <w:rPr>
          <w:rFonts w:cs="Arial"/>
          <w:i/>
          <w:sz w:val="20"/>
          <w:szCs w:val="20"/>
          <w:lang w:val="en-US"/>
        </w:rPr>
        <w:t>Encuesta de presupuestos familiares</w:t>
      </w:r>
      <w:r w:rsidRPr="009A6F08">
        <w:rPr>
          <w:rFonts w:cs="Arial"/>
          <w:sz w:val="20"/>
          <w:szCs w:val="20"/>
          <w:lang w:val="en-US"/>
        </w:rPr>
        <w:t xml:space="preserve">. All prices deflated by the general price index (INE, www.ine.es, </w:t>
      </w:r>
      <w:r w:rsidRPr="009A6F08">
        <w:rPr>
          <w:rFonts w:cs="Arial"/>
          <w:i/>
          <w:sz w:val="20"/>
          <w:szCs w:val="20"/>
          <w:lang w:val="en-US"/>
        </w:rPr>
        <w:t>Índice general de precios</w:t>
      </w:r>
      <w:r w:rsidRPr="009A6F08">
        <w:rPr>
          <w:rFonts w:cs="Arial"/>
          <w:sz w:val="20"/>
          <w:szCs w:val="20"/>
          <w:lang w:val="en-US"/>
        </w:rPr>
        <w:t xml:space="preserve">). </w:t>
      </w:r>
      <w:proofErr w:type="gramStart"/>
      <w:r w:rsidRPr="009A6F08">
        <w:rPr>
          <w:rFonts w:cs="Arial"/>
          <w:sz w:val="20"/>
          <w:szCs w:val="20"/>
          <w:lang w:val="en-US"/>
        </w:rPr>
        <w:t>In order to</w:t>
      </w:r>
      <w:proofErr w:type="gramEnd"/>
      <w:r w:rsidRPr="009A6F08">
        <w:rPr>
          <w:rFonts w:cs="Arial"/>
          <w:sz w:val="20"/>
          <w:szCs w:val="20"/>
          <w:lang w:val="en-US"/>
        </w:rPr>
        <w:t xml:space="preserve"> ensure comparability with the other prices, provincial consumer prices are not weighted by population, but by consumption levels.</w:t>
      </w:r>
    </w:p>
    <w:p w14:paraId="421CCAE8" w14:textId="77777777" w:rsidR="00B97CC4" w:rsidRPr="009A6F08" w:rsidRDefault="00B97CC4" w:rsidP="007C0656">
      <w:pPr>
        <w:spacing w:line="240" w:lineRule="auto"/>
        <w:ind w:left="709" w:hanging="709"/>
        <w:rPr>
          <w:rFonts w:cs="Arial"/>
          <w:sz w:val="20"/>
          <w:szCs w:val="20"/>
          <w:lang w:val="en-US"/>
        </w:rPr>
      </w:pPr>
    </w:p>
    <w:p w14:paraId="239FFDC0" w14:textId="77777777" w:rsidR="00317355" w:rsidRPr="009A6F08" w:rsidRDefault="00317355" w:rsidP="007C0656">
      <w:pPr>
        <w:spacing w:line="240" w:lineRule="auto"/>
        <w:ind w:left="709" w:hanging="709"/>
        <w:rPr>
          <w:rFonts w:cs="Arial"/>
          <w:sz w:val="20"/>
          <w:szCs w:val="20"/>
          <w:lang w:val="en-US"/>
        </w:rPr>
      </w:pPr>
    </w:p>
    <w:p w14:paraId="2BB9B798" w14:textId="77777777" w:rsidR="00C56CC8" w:rsidRPr="009A6F08" w:rsidRDefault="00C56CC8" w:rsidP="007C0656">
      <w:pPr>
        <w:spacing w:line="240" w:lineRule="auto"/>
        <w:ind w:left="709" w:hanging="709"/>
        <w:rPr>
          <w:rFonts w:cs="Arial"/>
          <w:sz w:val="20"/>
          <w:szCs w:val="20"/>
          <w:lang w:val="en-US"/>
        </w:rPr>
      </w:pPr>
    </w:p>
    <w:p w14:paraId="3073E1E5" w14:textId="77777777" w:rsidR="00BD7193" w:rsidRDefault="00BD7193">
      <w:pPr>
        <w:rPr>
          <w:rFonts w:cs="Arial"/>
          <w:b/>
          <w:sz w:val="22"/>
          <w:szCs w:val="22"/>
          <w:lang w:val="en-US"/>
        </w:rPr>
      </w:pPr>
      <w:r>
        <w:rPr>
          <w:rFonts w:cs="Arial"/>
          <w:b/>
          <w:sz w:val="22"/>
          <w:szCs w:val="22"/>
          <w:lang w:val="en-US"/>
        </w:rPr>
        <w:br w:type="page"/>
      </w:r>
    </w:p>
    <w:p w14:paraId="12F47E50" w14:textId="4884F9E7" w:rsidR="00C56CC8" w:rsidRPr="009A6F08" w:rsidRDefault="00C56CC8" w:rsidP="00C56CC8">
      <w:pPr>
        <w:spacing w:line="240" w:lineRule="auto"/>
        <w:rPr>
          <w:rFonts w:cs="Arial"/>
          <w:i/>
          <w:sz w:val="22"/>
          <w:szCs w:val="22"/>
          <w:lang w:val="en-US"/>
        </w:rPr>
      </w:pPr>
      <w:r w:rsidRPr="009A6F08">
        <w:rPr>
          <w:rFonts w:cs="Arial"/>
          <w:b/>
          <w:sz w:val="22"/>
          <w:szCs w:val="22"/>
          <w:lang w:val="en-US"/>
        </w:rPr>
        <w:lastRenderedPageBreak/>
        <w:t xml:space="preserve">Table 8. </w:t>
      </w:r>
      <w:r w:rsidRPr="009A6F08">
        <w:rPr>
          <w:rFonts w:cs="Arial"/>
          <w:i/>
          <w:sz w:val="22"/>
          <w:szCs w:val="22"/>
          <w:lang w:val="en-US"/>
        </w:rPr>
        <w:t>Advertising orientations among major dairy companies in the 1980s</w:t>
      </w:r>
    </w:p>
    <w:p w14:paraId="489E8094" w14:textId="77777777" w:rsidR="00C56CC8" w:rsidRPr="009A6F08" w:rsidRDefault="00C56CC8" w:rsidP="00C56CC8">
      <w:pPr>
        <w:spacing w:line="240" w:lineRule="auto"/>
        <w:ind w:left="794" w:hanging="794"/>
        <w:rPr>
          <w:rFonts w:cs="Arial"/>
          <w:i/>
          <w:sz w:val="22"/>
          <w:szCs w:val="22"/>
          <w:lang w:val="en-US"/>
        </w:rPr>
      </w:pPr>
    </w:p>
    <w:tbl>
      <w:tblPr>
        <w:tblStyle w:val="CJE"/>
        <w:tblW w:w="8505" w:type="dxa"/>
        <w:jc w:val="center"/>
        <w:tblLayout w:type="fixed"/>
        <w:tblLook w:val="04A0" w:firstRow="1" w:lastRow="0" w:firstColumn="1" w:lastColumn="0" w:noHBand="0" w:noVBand="1"/>
      </w:tblPr>
      <w:tblGrid>
        <w:gridCol w:w="3141"/>
        <w:gridCol w:w="1626"/>
        <w:gridCol w:w="1626"/>
        <w:gridCol w:w="2112"/>
      </w:tblGrid>
      <w:tr w:rsidR="00C56CC8" w:rsidRPr="009A6F08" w14:paraId="7870104C" w14:textId="77777777" w:rsidTr="00F721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2" w:type="dxa"/>
          </w:tcPr>
          <w:p w14:paraId="03B78C7B" w14:textId="77777777" w:rsidR="00C56CC8" w:rsidRPr="009A6F08" w:rsidRDefault="00C56CC8" w:rsidP="00F721B7">
            <w:pPr>
              <w:jc w:val="left"/>
              <w:rPr>
                <w:rFonts w:cs="Arial"/>
                <w:sz w:val="22"/>
                <w:szCs w:val="22"/>
                <w:lang w:val="en-US"/>
              </w:rPr>
            </w:pPr>
          </w:p>
        </w:tc>
        <w:tc>
          <w:tcPr>
            <w:tcW w:w="1750" w:type="dxa"/>
          </w:tcPr>
          <w:p w14:paraId="3394EE93" w14:textId="77777777" w:rsidR="00C56CC8" w:rsidRPr="009A6F08" w:rsidRDefault="00C56CC8"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Investment in advertising (current million pesetas), 1988</w:t>
            </w:r>
          </w:p>
        </w:tc>
        <w:tc>
          <w:tcPr>
            <w:tcW w:w="1750" w:type="dxa"/>
          </w:tcPr>
          <w:p w14:paraId="73915777" w14:textId="77777777" w:rsidR="00C56CC8" w:rsidRPr="009A6F08" w:rsidRDefault="00C56CC8"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Main production</w:t>
            </w:r>
          </w:p>
        </w:tc>
        <w:tc>
          <w:tcPr>
            <w:tcW w:w="2280" w:type="dxa"/>
          </w:tcPr>
          <w:p w14:paraId="29D556CF" w14:textId="77777777" w:rsidR="00C56CC8" w:rsidRPr="009A6F08" w:rsidRDefault="00C56CC8" w:rsidP="00F721B7">
            <w:pPr>
              <w:cnfStyle w:val="100000000000" w:firstRow="1"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Main theme in advertising, c.1985</w:t>
            </w:r>
          </w:p>
        </w:tc>
      </w:tr>
      <w:tr w:rsidR="00C56CC8" w:rsidRPr="009A6F08" w14:paraId="53A42B35"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7E2E3049" w14:textId="77777777" w:rsidR="00C56CC8" w:rsidRPr="009A6F08" w:rsidRDefault="00C56CC8" w:rsidP="00F721B7">
            <w:pPr>
              <w:rPr>
                <w:rFonts w:cs="Arial"/>
                <w:sz w:val="22"/>
                <w:szCs w:val="22"/>
                <w:lang w:val="en-US"/>
              </w:rPr>
            </w:pPr>
          </w:p>
        </w:tc>
        <w:tc>
          <w:tcPr>
            <w:tcW w:w="1750" w:type="dxa"/>
          </w:tcPr>
          <w:p w14:paraId="4CFF6A50" w14:textId="77777777" w:rsidR="00C56CC8" w:rsidRPr="009A6F08" w:rsidRDefault="00C56CC8"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750" w:type="dxa"/>
          </w:tcPr>
          <w:p w14:paraId="7D9E5A66" w14:textId="77777777" w:rsidR="00C56CC8" w:rsidRPr="009A6F08" w:rsidRDefault="00C56CC8"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2280" w:type="dxa"/>
          </w:tcPr>
          <w:p w14:paraId="3EFEE501" w14:textId="77777777" w:rsidR="00C56CC8" w:rsidRPr="009A6F08" w:rsidRDefault="00C56CC8"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r w:rsidR="00C56CC8" w:rsidRPr="009A6F08" w14:paraId="65E2C9A1"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5C1A73E8" w14:textId="77777777" w:rsidR="00C56CC8" w:rsidRPr="009A6F08" w:rsidRDefault="00C56CC8" w:rsidP="00F721B7">
            <w:pPr>
              <w:ind w:left="113"/>
              <w:rPr>
                <w:rFonts w:cs="Arial"/>
                <w:sz w:val="22"/>
                <w:szCs w:val="22"/>
                <w:lang w:val="en-US"/>
              </w:rPr>
            </w:pPr>
            <w:r w:rsidRPr="009A6F08">
              <w:rPr>
                <w:rFonts w:cs="Arial"/>
                <w:sz w:val="22"/>
                <w:szCs w:val="22"/>
                <w:lang w:val="en-US"/>
              </w:rPr>
              <w:t>Danone</w:t>
            </w:r>
          </w:p>
        </w:tc>
        <w:tc>
          <w:tcPr>
            <w:tcW w:w="1750" w:type="dxa"/>
          </w:tcPr>
          <w:p w14:paraId="7DDD7B72" w14:textId="77777777" w:rsidR="00C56CC8" w:rsidRPr="009A6F08" w:rsidRDefault="00C56CC8" w:rsidP="00F721B7">
            <w:pPr>
              <w:ind w:right="45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2,421</w:t>
            </w:r>
          </w:p>
        </w:tc>
        <w:tc>
          <w:tcPr>
            <w:tcW w:w="1750" w:type="dxa"/>
          </w:tcPr>
          <w:p w14:paraId="34D5C165"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Yoghurt</w:t>
            </w:r>
          </w:p>
        </w:tc>
        <w:tc>
          <w:tcPr>
            <w:tcW w:w="2280" w:type="dxa"/>
          </w:tcPr>
          <w:p w14:paraId="076918A3"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Freshness</w:t>
            </w:r>
          </w:p>
        </w:tc>
      </w:tr>
      <w:tr w:rsidR="00C56CC8" w:rsidRPr="009A6F08" w14:paraId="288404AD"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485E09F8" w14:textId="77777777" w:rsidR="00C56CC8" w:rsidRPr="009A6F08" w:rsidRDefault="00C56CC8" w:rsidP="00F721B7">
            <w:pPr>
              <w:ind w:left="113"/>
              <w:rPr>
                <w:rFonts w:cs="Arial"/>
                <w:sz w:val="22"/>
                <w:szCs w:val="22"/>
                <w:lang w:val="en-US"/>
              </w:rPr>
            </w:pPr>
            <w:r w:rsidRPr="009A6F08">
              <w:rPr>
                <w:rFonts w:cs="Arial"/>
                <w:sz w:val="22"/>
                <w:szCs w:val="22"/>
                <w:lang w:val="en-US"/>
              </w:rPr>
              <w:t>Pascual</w:t>
            </w:r>
          </w:p>
        </w:tc>
        <w:tc>
          <w:tcPr>
            <w:tcW w:w="1750" w:type="dxa"/>
          </w:tcPr>
          <w:p w14:paraId="5AB138D2" w14:textId="77777777" w:rsidR="00C56CC8" w:rsidRPr="009A6F08" w:rsidRDefault="00C56CC8" w:rsidP="00F721B7">
            <w:pPr>
              <w:ind w:right="45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2,020</w:t>
            </w:r>
          </w:p>
        </w:tc>
        <w:tc>
          <w:tcPr>
            <w:tcW w:w="1750" w:type="dxa"/>
          </w:tcPr>
          <w:p w14:paraId="5BDDC64D"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Milk</w:t>
            </w:r>
          </w:p>
        </w:tc>
        <w:tc>
          <w:tcPr>
            <w:tcW w:w="2280" w:type="dxa"/>
          </w:tcPr>
          <w:p w14:paraId="660D5508"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Quality</w:t>
            </w:r>
          </w:p>
        </w:tc>
      </w:tr>
      <w:tr w:rsidR="00C56CC8" w:rsidRPr="009A6F08" w14:paraId="516E95F6"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6BB4227C" w14:textId="77777777" w:rsidR="00C56CC8" w:rsidRPr="009A6F08" w:rsidRDefault="00C56CC8" w:rsidP="00F721B7">
            <w:pPr>
              <w:ind w:left="113"/>
              <w:rPr>
                <w:rFonts w:cs="Arial"/>
                <w:sz w:val="22"/>
                <w:szCs w:val="22"/>
                <w:lang w:val="en-US"/>
              </w:rPr>
            </w:pPr>
            <w:r w:rsidRPr="009A6F08">
              <w:rPr>
                <w:rFonts w:cs="Arial"/>
                <w:sz w:val="22"/>
                <w:szCs w:val="22"/>
                <w:lang w:val="en-US"/>
              </w:rPr>
              <w:t>Kraft Leonesas</w:t>
            </w:r>
          </w:p>
        </w:tc>
        <w:tc>
          <w:tcPr>
            <w:tcW w:w="1750" w:type="dxa"/>
          </w:tcPr>
          <w:p w14:paraId="789BCD61" w14:textId="77777777" w:rsidR="00C56CC8" w:rsidRPr="009A6F08" w:rsidRDefault="00C56CC8" w:rsidP="00F721B7">
            <w:pPr>
              <w:ind w:right="45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1,060</w:t>
            </w:r>
          </w:p>
        </w:tc>
        <w:tc>
          <w:tcPr>
            <w:tcW w:w="1750" w:type="dxa"/>
          </w:tcPr>
          <w:p w14:paraId="0C22F675"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Cheese</w:t>
            </w:r>
          </w:p>
        </w:tc>
        <w:tc>
          <w:tcPr>
            <w:tcW w:w="2280" w:type="dxa"/>
          </w:tcPr>
          <w:p w14:paraId="34558F7E"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Health</w:t>
            </w:r>
          </w:p>
        </w:tc>
      </w:tr>
      <w:tr w:rsidR="00C56CC8" w:rsidRPr="009A6F08" w14:paraId="0958EC49"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1A7BD942" w14:textId="77777777" w:rsidR="00C56CC8" w:rsidRPr="009A6F08" w:rsidRDefault="00C56CC8" w:rsidP="00F721B7">
            <w:pPr>
              <w:ind w:left="113"/>
              <w:rPr>
                <w:rFonts w:cs="Arial"/>
                <w:sz w:val="22"/>
                <w:szCs w:val="22"/>
                <w:lang w:val="en-US"/>
              </w:rPr>
            </w:pPr>
            <w:r w:rsidRPr="009A6F08">
              <w:rPr>
                <w:rFonts w:cs="Arial"/>
                <w:sz w:val="22"/>
                <w:szCs w:val="22"/>
                <w:lang w:val="en-US"/>
              </w:rPr>
              <w:t>Industrial Quesera Menorquina</w:t>
            </w:r>
          </w:p>
        </w:tc>
        <w:tc>
          <w:tcPr>
            <w:tcW w:w="1750" w:type="dxa"/>
          </w:tcPr>
          <w:p w14:paraId="1C4A791E" w14:textId="77777777" w:rsidR="00C56CC8" w:rsidRPr="009A6F08" w:rsidRDefault="00C56CC8" w:rsidP="00F721B7">
            <w:pPr>
              <w:ind w:right="45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611</w:t>
            </w:r>
          </w:p>
        </w:tc>
        <w:tc>
          <w:tcPr>
            <w:tcW w:w="1750" w:type="dxa"/>
          </w:tcPr>
          <w:p w14:paraId="701539F4"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Cheese</w:t>
            </w:r>
          </w:p>
        </w:tc>
        <w:tc>
          <w:tcPr>
            <w:tcW w:w="2280" w:type="dxa"/>
          </w:tcPr>
          <w:p w14:paraId="795D3F79"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Reliability</w:t>
            </w:r>
          </w:p>
        </w:tc>
      </w:tr>
      <w:tr w:rsidR="00C56CC8" w:rsidRPr="009A6F08" w14:paraId="716FEA64"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336D7294" w14:textId="77777777" w:rsidR="00C56CC8" w:rsidRPr="009A6F08" w:rsidRDefault="00C56CC8" w:rsidP="00F721B7">
            <w:pPr>
              <w:ind w:left="113"/>
              <w:rPr>
                <w:rFonts w:cs="Arial"/>
                <w:sz w:val="22"/>
                <w:szCs w:val="22"/>
                <w:lang w:val="en-US"/>
              </w:rPr>
            </w:pPr>
            <w:r w:rsidRPr="009A6F08">
              <w:rPr>
                <w:rFonts w:cs="Arial"/>
                <w:sz w:val="22"/>
                <w:szCs w:val="22"/>
                <w:lang w:val="en-US"/>
              </w:rPr>
              <w:t>La Lactaria Española</w:t>
            </w:r>
          </w:p>
        </w:tc>
        <w:tc>
          <w:tcPr>
            <w:tcW w:w="1750" w:type="dxa"/>
          </w:tcPr>
          <w:p w14:paraId="08D16B3D" w14:textId="77777777" w:rsidR="00C56CC8" w:rsidRPr="009A6F08" w:rsidRDefault="00C56CC8" w:rsidP="00F721B7">
            <w:pPr>
              <w:ind w:right="45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368</w:t>
            </w:r>
          </w:p>
        </w:tc>
        <w:tc>
          <w:tcPr>
            <w:tcW w:w="1750" w:type="dxa"/>
          </w:tcPr>
          <w:p w14:paraId="650BC3F9"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Milk</w:t>
            </w:r>
          </w:p>
        </w:tc>
        <w:tc>
          <w:tcPr>
            <w:tcW w:w="2280" w:type="dxa"/>
          </w:tcPr>
          <w:p w14:paraId="0F6A05DF"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Quality</w:t>
            </w:r>
          </w:p>
        </w:tc>
      </w:tr>
      <w:tr w:rsidR="00C56CC8" w:rsidRPr="009A6F08" w14:paraId="5387BC62"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6D7FE8E0" w14:textId="77777777" w:rsidR="00C56CC8" w:rsidRPr="009A6F08" w:rsidRDefault="00C56CC8" w:rsidP="00F721B7">
            <w:pPr>
              <w:ind w:left="113"/>
              <w:rPr>
                <w:rFonts w:cs="Arial"/>
                <w:sz w:val="22"/>
                <w:szCs w:val="22"/>
                <w:lang w:val="en-US"/>
              </w:rPr>
            </w:pPr>
            <w:r w:rsidRPr="009A6F08">
              <w:rPr>
                <w:rFonts w:cs="Arial"/>
                <w:sz w:val="22"/>
                <w:szCs w:val="22"/>
                <w:lang w:val="en-US"/>
              </w:rPr>
              <w:t>Sodial</w:t>
            </w:r>
          </w:p>
        </w:tc>
        <w:tc>
          <w:tcPr>
            <w:tcW w:w="1750" w:type="dxa"/>
          </w:tcPr>
          <w:p w14:paraId="5F15BE9A" w14:textId="77777777" w:rsidR="00C56CC8" w:rsidRPr="009A6F08" w:rsidRDefault="00C56CC8" w:rsidP="00F721B7">
            <w:pPr>
              <w:ind w:right="45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367</w:t>
            </w:r>
          </w:p>
        </w:tc>
        <w:tc>
          <w:tcPr>
            <w:tcW w:w="1750" w:type="dxa"/>
          </w:tcPr>
          <w:p w14:paraId="603E0311"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Yoghurt</w:t>
            </w:r>
          </w:p>
        </w:tc>
        <w:tc>
          <w:tcPr>
            <w:tcW w:w="2280" w:type="dxa"/>
          </w:tcPr>
          <w:p w14:paraId="46089D4F"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Health</w:t>
            </w:r>
          </w:p>
        </w:tc>
      </w:tr>
      <w:tr w:rsidR="00C56CC8" w:rsidRPr="009A6F08" w14:paraId="433E0035"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1952EFE5" w14:textId="77777777" w:rsidR="00C56CC8" w:rsidRPr="009A6F08" w:rsidRDefault="00C56CC8" w:rsidP="00F721B7">
            <w:pPr>
              <w:ind w:left="113"/>
              <w:rPr>
                <w:rFonts w:cs="Arial"/>
                <w:sz w:val="22"/>
                <w:szCs w:val="22"/>
                <w:lang w:val="en-US"/>
              </w:rPr>
            </w:pPr>
            <w:r w:rsidRPr="009A6F08">
              <w:rPr>
                <w:rFonts w:cs="Arial"/>
                <w:sz w:val="22"/>
                <w:szCs w:val="22"/>
                <w:lang w:val="en-US"/>
              </w:rPr>
              <w:t>Mantequerías Arias</w:t>
            </w:r>
          </w:p>
        </w:tc>
        <w:tc>
          <w:tcPr>
            <w:tcW w:w="1750" w:type="dxa"/>
          </w:tcPr>
          <w:p w14:paraId="1DC9D413" w14:textId="77777777" w:rsidR="00C56CC8" w:rsidRPr="009A6F08" w:rsidRDefault="00C56CC8" w:rsidP="00F721B7">
            <w:pPr>
              <w:ind w:right="45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366</w:t>
            </w:r>
          </w:p>
        </w:tc>
        <w:tc>
          <w:tcPr>
            <w:tcW w:w="1750" w:type="dxa"/>
          </w:tcPr>
          <w:p w14:paraId="62D99300"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Cheese</w:t>
            </w:r>
          </w:p>
        </w:tc>
        <w:tc>
          <w:tcPr>
            <w:tcW w:w="2280" w:type="dxa"/>
          </w:tcPr>
          <w:p w14:paraId="4FE94662"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Freshness</w:t>
            </w:r>
          </w:p>
        </w:tc>
      </w:tr>
      <w:tr w:rsidR="00C56CC8" w:rsidRPr="009A6F08" w14:paraId="15FB98AD"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3C9ACC98" w14:textId="77777777" w:rsidR="00C56CC8" w:rsidRPr="009A6F08" w:rsidRDefault="00C56CC8" w:rsidP="00F721B7">
            <w:pPr>
              <w:ind w:left="113"/>
              <w:rPr>
                <w:rFonts w:cs="Arial"/>
                <w:sz w:val="22"/>
                <w:szCs w:val="22"/>
                <w:lang w:val="en-US"/>
              </w:rPr>
            </w:pPr>
            <w:r w:rsidRPr="009A6F08">
              <w:rPr>
                <w:rFonts w:cs="Arial"/>
                <w:sz w:val="22"/>
                <w:szCs w:val="22"/>
                <w:lang w:val="en-US"/>
              </w:rPr>
              <w:t>Clesa</w:t>
            </w:r>
          </w:p>
        </w:tc>
        <w:tc>
          <w:tcPr>
            <w:tcW w:w="1750" w:type="dxa"/>
          </w:tcPr>
          <w:p w14:paraId="19A7A6CF" w14:textId="77777777" w:rsidR="00C56CC8" w:rsidRPr="009A6F08" w:rsidRDefault="00C56CC8" w:rsidP="00F721B7">
            <w:pPr>
              <w:ind w:right="45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358</w:t>
            </w:r>
          </w:p>
        </w:tc>
        <w:tc>
          <w:tcPr>
            <w:tcW w:w="1750" w:type="dxa"/>
          </w:tcPr>
          <w:p w14:paraId="4FB70088"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Milk</w:t>
            </w:r>
          </w:p>
        </w:tc>
        <w:tc>
          <w:tcPr>
            <w:tcW w:w="2280" w:type="dxa"/>
          </w:tcPr>
          <w:p w14:paraId="3A9C3720"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Quality</w:t>
            </w:r>
          </w:p>
        </w:tc>
      </w:tr>
      <w:tr w:rsidR="00C56CC8" w:rsidRPr="009A6F08" w14:paraId="4DC422CB"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701CD459" w14:textId="77777777" w:rsidR="00C56CC8" w:rsidRPr="009A6F08" w:rsidRDefault="00C56CC8" w:rsidP="00F721B7">
            <w:pPr>
              <w:ind w:left="113"/>
              <w:rPr>
                <w:rFonts w:cs="Arial"/>
                <w:sz w:val="22"/>
                <w:szCs w:val="22"/>
                <w:lang w:val="en-US"/>
              </w:rPr>
            </w:pPr>
            <w:r w:rsidRPr="009A6F08">
              <w:rPr>
                <w:rFonts w:cs="Arial"/>
                <w:sz w:val="22"/>
                <w:szCs w:val="22"/>
                <w:lang w:val="en-US"/>
              </w:rPr>
              <w:t>Uniasa</w:t>
            </w:r>
          </w:p>
        </w:tc>
        <w:tc>
          <w:tcPr>
            <w:tcW w:w="1750" w:type="dxa"/>
          </w:tcPr>
          <w:p w14:paraId="1D0B60AE" w14:textId="77777777" w:rsidR="00C56CC8" w:rsidRPr="009A6F08" w:rsidRDefault="00C56CC8" w:rsidP="00F721B7">
            <w:pPr>
              <w:ind w:right="458"/>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336</w:t>
            </w:r>
          </w:p>
        </w:tc>
        <w:tc>
          <w:tcPr>
            <w:tcW w:w="1750" w:type="dxa"/>
          </w:tcPr>
          <w:p w14:paraId="5888C0E9"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Milk</w:t>
            </w:r>
          </w:p>
        </w:tc>
        <w:tc>
          <w:tcPr>
            <w:tcW w:w="2280" w:type="dxa"/>
          </w:tcPr>
          <w:p w14:paraId="115D9259" w14:textId="77777777" w:rsidR="00C56CC8" w:rsidRPr="009A6F08" w:rsidRDefault="00C56CC8" w:rsidP="00F721B7">
            <w:pPr>
              <w:jc w:val="center"/>
              <w:cnfStyle w:val="000000000000" w:firstRow="0" w:lastRow="0" w:firstColumn="0" w:lastColumn="0" w:oddVBand="0" w:evenVBand="0" w:oddHBand="0" w:evenHBand="0" w:firstRowFirstColumn="0" w:firstRowLastColumn="0" w:lastRowFirstColumn="0" w:lastRowLastColumn="0"/>
              <w:rPr>
                <w:rFonts w:cs="Arial"/>
                <w:sz w:val="22"/>
                <w:szCs w:val="22"/>
                <w:lang w:val="en-US"/>
              </w:rPr>
            </w:pPr>
            <w:r w:rsidRPr="009A6F08">
              <w:rPr>
                <w:rFonts w:cs="Arial"/>
                <w:sz w:val="22"/>
                <w:szCs w:val="22"/>
                <w:lang w:val="en-US"/>
              </w:rPr>
              <w:t>Reliability</w:t>
            </w:r>
          </w:p>
        </w:tc>
      </w:tr>
      <w:tr w:rsidR="00C56CC8" w:rsidRPr="009A6F08" w14:paraId="5E4AFED2" w14:textId="77777777" w:rsidTr="00F721B7">
        <w:trPr>
          <w:jc w:val="center"/>
        </w:trPr>
        <w:tc>
          <w:tcPr>
            <w:cnfStyle w:val="001000000000" w:firstRow="0" w:lastRow="0" w:firstColumn="1" w:lastColumn="0" w:oddVBand="0" w:evenVBand="0" w:oddHBand="0" w:evenHBand="0" w:firstRowFirstColumn="0" w:firstRowLastColumn="0" w:lastRowFirstColumn="0" w:lastRowLastColumn="0"/>
            <w:tcW w:w="3402" w:type="dxa"/>
          </w:tcPr>
          <w:p w14:paraId="7877A401" w14:textId="77777777" w:rsidR="00C56CC8" w:rsidRPr="009A6F08" w:rsidRDefault="00C56CC8" w:rsidP="00F721B7">
            <w:pPr>
              <w:rPr>
                <w:rFonts w:cs="Arial"/>
                <w:sz w:val="22"/>
                <w:szCs w:val="22"/>
                <w:lang w:val="en-US"/>
              </w:rPr>
            </w:pPr>
          </w:p>
        </w:tc>
        <w:tc>
          <w:tcPr>
            <w:tcW w:w="1750" w:type="dxa"/>
          </w:tcPr>
          <w:p w14:paraId="20DBA789" w14:textId="77777777" w:rsidR="00C56CC8" w:rsidRPr="009A6F08" w:rsidRDefault="00C56CC8"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1750" w:type="dxa"/>
          </w:tcPr>
          <w:p w14:paraId="25B6FF46" w14:textId="77777777" w:rsidR="00C56CC8" w:rsidRPr="009A6F08" w:rsidRDefault="00C56CC8"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c>
          <w:tcPr>
            <w:tcW w:w="2280" w:type="dxa"/>
          </w:tcPr>
          <w:p w14:paraId="786BE55C" w14:textId="77777777" w:rsidR="00C56CC8" w:rsidRPr="009A6F08" w:rsidRDefault="00C56CC8" w:rsidP="00F721B7">
            <w:pPr>
              <w:cnfStyle w:val="000000000000" w:firstRow="0" w:lastRow="0" w:firstColumn="0" w:lastColumn="0" w:oddVBand="0" w:evenVBand="0" w:oddHBand="0" w:evenHBand="0" w:firstRowFirstColumn="0" w:firstRowLastColumn="0" w:lastRowFirstColumn="0" w:lastRowLastColumn="0"/>
              <w:rPr>
                <w:rFonts w:cs="Arial"/>
                <w:sz w:val="22"/>
                <w:szCs w:val="22"/>
                <w:lang w:val="en-US"/>
              </w:rPr>
            </w:pPr>
          </w:p>
        </w:tc>
      </w:tr>
    </w:tbl>
    <w:p w14:paraId="7E1E96A0" w14:textId="77777777" w:rsidR="00C56CC8" w:rsidRPr="009A6F08" w:rsidRDefault="00C56CC8" w:rsidP="00C56CC8">
      <w:pPr>
        <w:spacing w:line="240" w:lineRule="auto"/>
        <w:jc w:val="left"/>
        <w:rPr>
          <w:rFonts w:cs="Arial"/>
          <w:b/>
          <w:sz w:val="20"/>
          <w:szCs w:val="20"/>
          <w:lang w:val="en-US"/>
        </w:rPr>
      </w:pPr>
    </w:p>
    <w:p w14:paraId="76857E3E" w14:textId="77777777" w:rsidR="00C56CC8" w:rsidRPr="009A6F08" w:rsidRDefault="00C56CC8" w:rsidP="00C56CC8">
      <w:pPr>
        <w:spacing w:line="240" w:lineRule="auto"/>
        <w:ind w:left="709" w:hanging="709"/>
        <w:rPr>
          <w:rFonts w:cs="Arial"/>
          <w:sz w:val="20"/>
          <w:szCs w:val="20"/>
        </w:rPr>
      </w:pPr>
      <w:r w:rsidRPr="009A6F08">
        <w:rPr>
          <w:rFonts w:cs="Arial"/>
          <w:i/>
          <w:sz w:val="20"/>
          <w:szCs w:val="20"/>
        </w:rPr>
        <w:t xml:space="preserve">Sources: </w:t>
      </w:r>
      <w:r w:rsidRPr="009A6F08">
        <w:rPr>
          <w:rFonts w:cs="Arial"/>
          <w:sz w:val="20"/>
          <w:szCs w:val="20"/>
        </w:rPr>
        <w:t xml:space="preserve">major companies in terms of advertising investment: Lacasa, ‘La publicidad’, p. 20; advertisements: </w:t>
      </w:r>
      <w:r w:rsidRPr="009A6F08">
        <w:rPr>
          <w:rFonts w:cs="Arial"/>
          <w:i/>
          <w:sz w:val="20"/>
          <w:szCs w:val="20"/>
        </w:rPr>
        <w:t>Revista Española de Lechería</w:t>
      </w:r>
      <w:r w:rsidRPr="009A6F08">
        <w:rPr>
          <w:rFonts w:cs="Arial"/>
          <w:sz w:val="20"/>
          <w:szCs w:val="20"/>
        </w:rPr>
        <w:t xml:space="preserve">, 121 (1981); </w:t>
      </w:r>
      <w:r w:rsidRPr="009A6F08">
        <w:rPr>
          <w:rFonts w:cs="Arial"/>
          <w:i/>
          <w:sz w:val="20"/>
          <w:szCs w:val="20"/>
        </w:rPr>
        <w:t>Revista Española de Lechería</w:t>
      </w:r>
      <w:r w:rsidRPr="009A6F08">
        <w:rPr>
          <w:rFonts w:cs="Arial"/>
          <w:sz w:val="20"/>
          <w:szCs w:val="20"/>
        </w:rPr>
        <w:t xml:space="preserve">, second series, 1 (1985); and </w:t>
      </w:r>
      <w:r w:rsidRPr="009A6F08">
        <w:rPr>
          <w:rFonts w:cs="Arial"/>
          <w:i/>
          <w:sz w:val="20"/>
          <w:szCs w:val="20"/>
        </w:rPr>
        <w:t>Industrias Lácteas Españolas</w:t>
      </w:r>
      <w:r w:rsidRPr="009A6F08">
        <w:rPr>
          <w:rFonts w:cs="Arial"/>
          <w:sz w:val="20"/>
          <w:szCs w:val="20"/>
        </w:rPr>
        <w:t>, 135 (1990).</w:t>
      </w:r>
    </w:p>
    <w:sectPr w:rsidR="00C56CC8" w:rsidRPr="009A6F08">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DF2F" w14:textId="77777777" w:rsidR="006D48C0" w:rsidRDefault="006D48C0" w:rsidP="00030ED2">
      <w:pPr>
        <w:spacing w:line="240" w:lineRule="auto"/>
      </w:pPr>
      <w:r>
        <w:separator/>
      </w:r>
    </w:p>
  </w:endnote>
  <w:endnote w:type="continuationSeparator" w:id="0">
    <w:p w14:paraId="081BDF62" w14:textId="77777777" w:rsidR="006D48C0" w:rsidRDefault="006D48C0" w:rsidP="00030ED2">
      <w:pPr>
        <w:spacing w:line="240" w:lineRule="auto"/>
      </w:pPr>
      <w:r>
        <w:continuationSeparator/>
      </w:r>
    </w:p>
  </w:endnote>
  <w:endnote w:type="continuationNotice" w:id="1">
    <w:p w14:paraId="5A47BBC2" w14:textId="77777777" w:rsidR="006D48C0" w:rsidRDefault="006D48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247"/>
      <w:docPartObj>
        <w:docPartGallery w:val="Page Numbers (Bottom of Page)"/>
        <w:docPartUnique/>
      </w:docPartObj>
    </w:sdtPr>
    <w:sdtContent>
      <w:p w14:paraId="79E85911" w14:textId="6595449A" w:rsidR="008954E3" w:rsidRDefault="008954E3">
        <w:pPr>
          <w:pStyle w:val="Piedepgina"/>
          <w:jc w:val="center"/>
        </w:pPr>
        <w:r>
          <w:fldChar w:fldCharType="begin"/>
        </w:r>
        <w:r>
          <w:instrText>PAGE   \* MERGEFORMAT</w:instrText>
        </w:r>
        <w:r>
          <w:fldChar w:fldCharType="separate"/>
        </w:r>
        <w:r>
          <w:t>2</w:t>
        </w:r>
        <w:r>
          <w:fldChar w:fldCharType="end"/>
        </w:r>
      </w:p>
    </w:sdtContent>
  </w:sdt>
  <w:p w14:paraId="4824CD5F" w14:textId="77777777" w:rsidR="008954E3" w:rsidRDefault="008954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A873" w14:textId="77777777" w:rsidR="006D48C0" w:rsidRDefault="006D48C0" w:rsidP="00030ED2">
      <w:pPr>
        <w:spacing w:line="240" w:lineRule="auto"/>
      </w:pPr>
      <w:r>
        <w:separator/>
      </w:r>
    </w:p>
  </w:footnote>
  <w:footnote w:type="continuationSeparator" w:id="0">
    <w:p w14:paraId="6E097902" w14:textId="77777777" w:rsidR="006D48C0" w:rsidRDefault="006D48C0" w:rsidP="00030ED2">
      <w:pPr>
        <w:spacing w:line="240" w:lineRule="auto"/>
      </w:pPr>
      <w:r>
        <w:continuationSeparator/>
      </w:r>
    </w:p>
  </w:footnote>
  <w:footnote w:type="continuationNotice" w:id="1">
    <w:p w14:paraId="136B3547" w14:textId="77777777" w:rsidR="006D48C0" w:rsidRDefault="006D48C0">
      <w:pPr>
        <w:spacing w:line="240" w:lineRule="auto"/>
      </w:pPr>
    </w:p>
  </w:footnote>
  <w:footnote w:id="2">
    <w:p w14:paraId="6ECB1ACD" w14:textId="77777777" w:rsidR="00BC5AC6" w:rsidRPr="009A6F08" w:rsidRDefault="00BC5AC6" w:rsidP="002478C1">
      <w:pPr>
        <w:pStyle w:val="Textonotapie"/>
        <w:ind w:firstLine="709"/>
        <w:rPr>
          <w:rFonts w:cs="Arial"/>
          <w:lang w:val="en-US"/>
        </w:rPr>
      </w:pPr>
      <w:r w:rsidRPr="009A6F08">
        <w:rPr>
          <w:rStyle w:val="Refdenotaalpie"/>
          <w:rFonts w:cs="Arial"/>
          <w:lang w:val="en-US"/>
        </w:rPr>
        <w:t>*</w:t>
      </w:r>
      <w:r w:rsidRPr="009A6F08">
        <w:rPr>
          <w:rFonts w:cs="Arial"/>
          <w:lang w:val="en-US"/>
        </w:rPr>
        <w:t xml:space="preserve"> I gratefully acknowledge the comments made</w:t>
      </w:r>
      <w:r w:rsidR="0055329D" w:rsidRPr="009A6F08">
        <w:rPr>
          <w:rFonts w:cs="Arial"/>
          <w:lang w:val="en-US"/>
        </w:rPr>
        <w:t xml:space="preserve"> three reviewers and the editors, as well as by </w:t>
      </w:r>
      <w:r w:rsidRPr="009A6F08">
        <w:rPr>
          <w:rFonts w:cs="Arial"/>
          <w:lang w:val="en-US"/>
        </w:rPr>
        <w:t>participants at the</w:t>
      </w:r>
      <w:r w:rsidR="001839E6" w:rsidRPr="009A6F08">
        <w:rPr>
          <w:rFonts w:cs="Arial"/>
          <w:lang w:val="en-US"/>
        </w:rPr>
        <w:t xml:space="preserve"> XII Congress of the Spanish Economic History Association and the</w:t>
      </w:r>
      <w:r w:rsidRPr="009A6F08">
        <w:rPr>
          <w:rFonts w:cs="Arial"/>
          <w:lang w:val="en-US"/>
        </w:rPr>
        <w:t xml:space="preserve"> Zaragoza workshop </w:t>
      </w:r>
      <w:r w:rsidR="001839E6" w:rsidRPr="009A6F08">
        <w:rPr>
          <w:rFonts w:cs="Arial"/>
          <w:lang w:val="en-US"/>
        </w:rPr>
        <w:t>on the modern food system, especially Xavier Cussó and Juan Infante (</w:t>
      </w:r>
      <w:r w:rsidRPr="009A6F08">
        <w:rPr>
          <w:rFonts w:cs="Arial"/>
          <w:lang w:val="en-US"/>
        </w:rPr>
        <w:t>also Ernesto Clar, Domingo Gallego, Jesús Giráldez, Iñaki Iriarte, Raúl Serrano and David Soto). I am also indebted to participants at the Agricliometrics II conference, in particular Erik Green (also Fran Beltrán, Juan Carmona, Giovanni Federico, Markus Lampe, Vicente Pinilla and Jaime Reis), for comments on a related draft. Thanks also to the staff at the Centro de Investigación y Formación Agrarias (Cantabria) for their generous help, as well as to Albert Herreria for his careful editing of my English. Financial support was provided by the Government of Spain (ECO2015-65582) and the regional Government of Aragón (research group 269-187).</w:t>
      </w:r>
    </w:p>
  </w:footnote>
  <w:footnote w:id="3">
    <w:p w14:paraId="00D02C1A" w14:textId="77777777" w:rsidR="009351D4" w:rsidRPr="009A6F08" w:rsidRDefault="009351D4" w:rsidP="009351D4">
      <w:pPr>
        <w:pStyle w:val="Textonotapie"/>
        <w:ind w:firstLine="709"/>
        <w:rPr>
          <w:rFonts w:cs="Arial"/>
        </w:rPr>
      </w:pPr>
      <w:r w:rsidRPr="009A6F08">
        <w:rPr>
          <w:rStyle w:val="Refdenotaalpie"/>
          <w:rFonts w:cs="Arial"/>
          <w:lang w:val="en-US"/>
        </w:rPr>
        <w:t>**</w:t>
      </w:r>
      <w:r w:rsidR="0024237F" w:rsidRPr="009A6F08">
        <w:rPr>
          <w:rFonts w:cs="Arial"/>
          <w:lang w:val="en-US"/>
        </w:rPr>
        <w:t xml:space="preserve"> Associate Professor of Socio-E</w:t>
      </w:r>
      <w:r w:rsidR="009729C8" w:rsidRPr="009A6F08">
        <w:rPr>
          <w:rFonts w:cs="Arial"/>
          <w:lang w:val="en-US"/>
        </w:rPr>
        <w:t>c</w:t>
      </w:r>
      <w:r w:rsidRPr="009A6F08">
        <w:rPr>
          <w:rFonts w:cs="Arial"/>
          <w:lang w:val="en-US"/>
        </w:rPr>
        <w:t xml:space="preserve">onomic History, University of Zaragoza (Spain). </w:t>
      </w:r>
      <w:r w:rsidR="009729C8" w:rsidRPr="009A6F08">
        <w:rPr>
          <w:rFonts w:cs="Arial"/>
        </w:rPr>
        <w:t>Researcher affiliated to I</w:t>
      </w:r>
      <w:r w:rsidRPr="009A6F08">
        <w:rPr>
          <w:rFonts w:cs="Arial"/>
        </w:rPr>
        <w:t xml:space="preserve">A2 (Instituto Agroalimentario de Aragón) and CEDDAR (Centro de Estudios sobre Despoblación y Desarrollo Rural). Contact: collantf@unizar.es </w:t>
      </w:r>
    </w:p>
  </w:footnote>
  <w:footnote w:id="4">
    <w:p w14:paraId="0DDE7753" w14:textId="77777777" w:rsidR="00C60CA9" w:rsidRPr="009A6F08" w:rsidRDefault="00C60CA9" w:rsidP="00C60CA9">
      <w:pPr>
        <w:pStyle w:val="Textonotapie"/>
        <w:ind w:firstLine="709"/>
        <w:rPr>
          <w:rFonts w:cs="Arial"/>
          <w:lang w:val="fr-FR"/>
        </w:rPr>
      </w:pPr>
      <w:r w:rsidRPr="009A6F08">
        <w:rPr>
          <w:rStyle w:val="Refdenotaalpie"/>
          <w:rFonts w:cs="Arial"/>
        </w:rPr>
        <w:footnoteRef/>
      </w:r>
      <w:r w:rsidRPr="009A6F08">
        <w:rPr>
          <w:rFonts w:cs="Arial"/>
          <w:lang w:val="fr-FR"/>
        </w:rPr>
        <w:t xml:space="preserve"> Aymard, ‘Pour une histoire de l’alimentation’ ; Popkin, ‘Nutritional patterns’; Grigg, ‘Nutritional transition’.</w:t>
      </w:r>
    </w:p>
  </w:footnote>
  <w:footnote w:id="5">
    <w:p w14:paraId="2A946F57" w14:textId="77777777" w:rsidR="00C60CA9" w:rsidRPr="009A6F08" w:rsidRDefault="00C60CA9" w:rsidP="00C60CA9">
      <w:pPr>
        <w:pStyle w:val="Textonotapie"/>
        <w:ind w:firstLine="709"/>
        <w:rPr>
          <w:rFonts w:cs="Arial"/>
          <w:lang w:val="fr-FR"/>
        </w:rPr>
      </w:pPr>
      <w:r w:rsidRPr="009A6F08">
        <w:rPr>
          <w:rStyle w:val="Refdenotaalpie"/>
          <w:rFonts w:cs="Arial"/>
        </w:rPr>
        <w:footnoteRef/>
      </w:r>
      <w:r w:rsidRPr="009A6F08">
        <w:rPr>
          <w:rFonts w:cs="Arial"/>
          <w:lang w:val="fr-FR"/>
        </w:rPr>
        <w:t xml:space="preserve"> Grigg, ‘Nutritional transition’, p. 247.</w:t>
      </w:r>
    </w:p>
  </w:footnote>
  <w:footnote w:id="6">
    <w:p w14:paraId="1B801B53"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fr-FR"/>
        </w:rPr>
        <w:t xml:space="preserve"> Malassis, </w:t>
      </w:r>
      <w:r w:rsidRPr="009A6F08">
        <w:rPr>
          <w:rFonts w:cs="Arial"/>
          <w:i/>
          <w:lang w:val="fr-FR"/>
        </w:rPr>
        <w:t>Trois âges</w:t>
      </w:r>
      <w:r w:rsidRPr="009A6F08">
        <w:rPr>
          <w:rFonts w:cs="Arial"/>
          <w:lang w:val="fr-FR"/>
        </w:rPr>
        <w:t xml:space="preserve">. </w:t>
      </w:r>
      <w:r w:rsidRPr="009A6F08">
        <w:rPr>
          <w:rFonts w:cs="Arial"/>
          <w:lang w:val="en-US"/>
        </w:rPr>
        <w:t>See a convergent account in the seminal contribution to food regime analysis; Friedmann and McMichael, ‘Agriculture and the state system’.</w:t>
      </w:r>
    </w:p>
  </w:footnote>
  <w:footnote w:id="7">
    <w:p w14:paraId="1CA4F3E8"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Magnan, ‘Food regimes’, p. 379.</w:t>
      </w:r>
    </w:p>
  </w:footnote>
  <w:footnote w:id="8">
    <w:p w14:paraId="7F2DB9F5"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Scholliers, ‘Post-1945 global food developments’. See also the authoritative states of the art by Brassley, ‘Food production’, and Petrick, ‘Industrial food’, for Western Europe and North America respectively.</w:t>
      </w:r>
    </w:p>
  </w:footnote>
  <w:footnote w:id="9">
    <w:p w14:paraId="1843F26E"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Scholliers, ‘Post-1945 global food developments’, p. 347. The quote refers to the mass consumption of food and non-food items, but captures well Scholliers’ main argument in relation to food consumption.</w:t>
      </w:r>
    </w:p>
  </w:footnote>
  <w:footnote w:id="10">
    <w:p w14:paraId="01B81458"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Grigg, ‘Changing geography’, p. 2. Even in this latter formulation, though, Grigg does not explain falling food prices from a food system perspective, but merely as a result of rising agricultural productivity.</w:t>
      </w:r>
    </w:p>
  </w:footnote>
  <w:footnote w:id="11">
    <w:p w14:paraId="0DF13828"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See for instance Dixon, ‘From the imperial to the empty calorie’; Biltekoff, ‘Critical nutrition studies’; and Grigg, ‘Changing geography’.</w:t>
      </w:r>
    </w:p>
  </w:footnote>
  <w:footnote w:id="12">
    <w:p w14:paraId="7A04153F" w14:textId="77777777" w:rsidR="00C60CA9" w:rsidRPr="009A6F08" w:rsidRDefault="00C60CA9" w:rsidP="00C60CA9">
      <w:pPr>
        <w:pStyle w:val="Textonotapie"/>
        <w:ind w:firstLine="709"/>
        <w:rPr>
          <w:rFonts w:cs="Arial"/>
          <w:lang w:val="fr-FR"/>
        </w:rPr>
      </w:pPr>
      <w:r w:rsidRPr="009A6F08">
        <w:rPr>
          <w:rStyle w:val="Refdenotaalpie"/>
          <w:rFonts w:cs="Arial"/>
        </w:rPr>
        <w:footnoteRef/>
      </w:r>
      <w:r w:rsidRPr="009A6F08">
        <w:rPr>
          <w:rFonts w:cs="Arial"/>
          <w:lang w:val="fr-FR"/>
        </w:rPr>
        <w:t xml:space="preserve"> Stanziani, </w:t>
      </w:r>
      <w:r w:rsidRPr="009A6F08">
        <w:rPr>
          <w:rFonts w:cs="Arial"/>
          <w:i/>
          <w:lang w:val="fr-FR"/>
        </w:rPr>
        <w:t>Histoire de la qualité alimentaire</w:t>
      </w:r>
      <w:r w:rsidRPr="009A6F08">
        <w:rPr>
          <w:rFonts w:cs="Arial"/>
          <w:lang w:val="fr-FR"/>
        </w:rPr>
        <w:t xml:space="preserve">; Atkins, </w:t>
      </w:r>
      <w:r w:rsidRPr="009A6F08">
        <w:rPr>
          <w:rFonts w:cs="Arial"/>
          <w:i/>
          <w:lang w:val="fr-FR"/>
        </w:rPr>
        <w:t>Liquid materialities</w:t>
      </w:r>
      <w:r w:rsidRPr="009A6F08">
        <w:rPr>
          <w:rFonts w:cs="Arial"/>
          <w:lang w:val="fr-FR"/>
        </w:rPr>
        <w:t>, and ‘Long genealogy of quality’.</w:t>
      </w:r>
    </w:p>
  </w:footnote>
  <w:footnote w:id="13">
    <w:p w14:paraId="09B00402" w14:textId="77777777" w:rsidR="00C60CA9" w:rsidRPr="009A6F08" w:rsidRDefault="00C60CA9" w:rsidP="00C60CA9">
      <w:pPr>
        <w:pStyle w:val="Textonotapie"/>
        <w:ind w:firstLine="709"/>
        <w:rPr>
          <w:rFonts w:cs="Arial"/>
          <w:lang w:val="fr-FR"/>
        </w:rPr>
      </w:pPr>
      <w:r w:rsidRPr="009A6F08">
        <w:rPr>
          <w:rStyle w:val="Refdenotaalpie"/>
          <w:rFonts w:cs="Arial"/>
        </w:rPr>
        <w:footnoteRef/>
      </w:r>
      <w:r w:rsidRPr="009A6F08">
        <w:rPr>
          <w:rFonts w:cs="Arial"/>
          <w:lang w:val="fr-FR"/>
        </w:rPr>
        <w:t xml:space="preserve"> The following is based on Cussó, ‘Estado nutritivo’; Cussó and Garrabou, ‘Dieta mediterránea’; Pujol and Cussó, ‘Transición nutricional’; Germán, ‘De la historia agraria’; and Abad and Naredo, ‘Sobre la “modernización”’.</w:t>
      </w:r>
    </w:p>
  </w:footnote>
  <w:footnote w:id="14">
    <w:p w14:paraId="4096666A"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rPr>
        <w:t xml:space="preserve"> Hernández Adell, ‘Difusión de un nuevo alimento’; Muñoz Pradas, ‘Consumer populations’; Nicolau and Pujol, ‘Variaciones regionales’; Calatayud and Medina-Albaladejo, ‘Leche sin prados’; Collantes, ‘”Because they just don’t want to”’. </w:t>
      </w:r>
      <w:r w:rsidRPr="009A6F08">
        <w:rPr>
          <w:rFonts w:cs="Arial"/>
          <w:lang w:val="en-US"/>
        </w:rPr>
        <w:t xml:space="preserve">For an international perspective on dairy consumption, see Valenze, </w:t>
      </w:r>
      <w:r w:rsidRPr="009A6F08">
        <w:rPr>
          <w:rFonts w:cs="Arial"/>
          <w:i/>
          <w:lang w:val="en-US"/>
        </w:rPr>
        <w:t>Milk</w:t>
      </w:r>
      <w:r w:rsidRPr="009A6F08">
        <w:rPr>
          <w:rFonts w:cs="Arial"/>
          <w:lang w:val="en-US"/>
        </w:rPr>
        <w:t xml:space="preserve">; Velten, </w:t>
      </w:r>
      <w:r w:rsidRPr="009A6F08">
        <w:rPr>
          <w:rFonts w:cs="Arial"/>
          <w:i/>
          <w:lang w:val="en-US"/>
        </w:rPr>
        <w:t>Milk</w:t>
      </w:r>
      <w:r w:rsidRPr="009A6F08">
        <w:rPr>
          <w:rFonts w:cs="Arial"/>
          <w:lang w:val="en-US"/>
        </w:rPr>
        <w:t xml:space="preserve">; Wiley, </w:t>
      </w:r>
      <w:r w:rsidRPr="009A6F08">
        <w:rPr>
          <w:rFonts w:cs="Arial"/>
          <w:i/>
          <w:lang w:val="en-US"/>
        </w:rPr>
        <w:t>Re-imagining milk</w:t>
      </w:r>
      <w:r w:rsidRPr="009A6F08">
        <w:rPr>
          <w:rFonts w:cs="Arial"/>
          <w:lang w:val="en-US"/>
        </w:rPr>
        <w:t xml:space="preserve">; and Smith-Howard, </w:t>
      </w:r>
      <w:r w:rsidRPr="009A6F08">
        <w:rPr>
          <w:rFonts w:cs="Arial"/>
          <w:i/>
          <w:lang w:val="en-US"/>
        </w:rPr>
        <w:t>Pure and modern milk</w:t>
      </w:r>
      <w:r w:rsidRPr="009A6F08">
        <w:rPr>
          <w:rFonts w:cs="Arial"/>
          <w:lang w:val="en-US"/>
        </w:rPr>
        <w:t>.</w:t>
      </w:r>
    </w:p>
  </w:footnote>
  <w:footnote w:id="15">
    <w:p w14:paraId="64E3D85B"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Collantes, ‘Dairy products’.</w:t>
      </w:r>
    </w:p>
  </w:footnote>
  <w:footnote w:id="16">
    <w:p w14:paraId="13F011D3"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rPr>
        <w:t xml:space="preserve"> Cussó, ‘Estado nutritivo’; Martínez-Carrión, ‘Living standards’; Trescastro-López </w:t>
      </w:r>
      <w:r w:rsidRPr="009A6F08">
        <w:rPr>
          <w:rFonts w:cs="Arial"/>
          <w:i/>
        </w:rPr>
        <w:t>et al</w:t>
      </w:r>
      <w:r w:rsidRPr="009A6F08">
        <w:rPr>
          <w:rFonts w:cs="Arial"/>
        </w:rPr>
        <w:t xml:space="preserve">., ‘Malnutrición y desigualdades’. </w:t>
      </w:r>
      <w:r w:rsidRPr="009A6F08">
        <w:rPr>
          <w:rFonts w:cs="Arial"/>
          <w:lang w:val="en-US"/>
        </w:rPr>
        <w:t>Regional variations in heights are consistent with this argument; see Pérez-Castroviejo, ‘Biological welfare’.</w:t>
      </w:r>
    </w:p>
  </w:footnote>
  <w:footnote w:id="17">
    <w:p w14:paraId="7BE87B4E"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Collantes, ‘Places in common’; id., ‘Dairy products’.</w:t>
      </w:r>
    </w:p>
  </w:footnote>
  <w:footnote w:id="18">
    <w:p w14:paraId="20CF4D42"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rPr>
        <w:t xml:space="preserve"> Naredo, </w:t>
      </w:r>
      <w:r w:rsidRPr="009A6F08">
        <w:rPr>
          <w:rFonts w:cs="Arial"/>
          <w:i/>
        </w:rPr>
        <w:t>Evolución de la agricultura</w:t>
      </w:r>
      <w:r w:rsidRPr="009A6F08">
        <w:rPr>
          <w:rFonts w:cs="Arial"/>
        </w:rPr>
        <w:t xml:space="preserve">, pp. 259-260. </w:t>
      </w:r>
      <w:r w:rsidRPr="009A6F08">
        <w:rPr>
          <w:rFonts w:cs="Arial"/>
          <w:lang w:val="en-US"/>
        </w:rPr>
        <w:t>Consistently with this, recent research identifies low household income as the key obstacle to the unfolding of Spain’s nutritional transition in the early twentieth century; see Gallego, ‘Obstáculos comerciales’.</w:t>
      </w:r>
    </w:p>
  </w:footnote>
  <w:footnote w:id="19">
    <w:p w14:paraId="4BD3A26F"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Langreo, </w:t>
      </w:r>
      <w:r w:rsidRPr="009A6F08">
        <w:rPr>
          <w:rFonts w:cs="Arial"/>
          <w:i/>
        </w:rPr>
        <w:t>Historia de la industria láctea española</w:t>
      </w:r>
      <w:r w:rsidRPr="009A6F08">
        <w:rPr>
          <w:rFonts w:cs="Arial"/>
        </w:rPr>
        <w:t>. See also Domínguez, ‘La industria láctea”.</w:t>
      </w:r>
    </w:p>
  </w:footnote>
  <w:footnote w:id="20">
    <w:p w14:paraId="110B64C7"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rPr>
        <w:t xml:space="preserve"> Pujol and Cussó, ‘Transición nutricional’. See also M. González de Molina, D. Soto, J. Infante and E. Aguilera, ‘¿Una o varias transiciones? Nuevos datos sobre el consumo alimentario en España (1900-2008)’, paper presented at the XIV International Congress of the Spanish Agricultural History Society. </w:t>
      </w:r>
      <w:r w:rsidRPr="009A6F08">
        <w:rPr>
          <w:rFonts w:cs="Arial"/>
          <w:lang w:val="en-US"/>
        </w:rPr>
        <w:t>For a case study of diet change in the meat sector, see Clar, ‘La soberanía del industrial’.</w:t>
      </w:r>
    </w:p>
  </w:footnote>
  <w:footnote w:id="21">
    <w:p w14:paraId="7D25E1B5" w14:textId="77777777" w:rsidR="00C60CA9" w:rsidRPr="009A6F08" w:rsidRDefault="00C60CA9" w:rsidP="00C60CA9">
      <w:pPr>
        <w:pStyle w:val="Textonotapie"/>
        <w:ind w:firstLine="709"/>
        <w:rPr>
          <w:rFonts w:cs="Arial"/>
          <w:lang w:val="fr-FR"/>
        </w:rPr>
      </w:pPr>
      <w:r w:rsidRPr="009A6F08">
        <w:rPr>
          <w:rStyle w:val="Refdenotaalpie"/>
          <w:rFonts w:cs="Arial"/>
        </w:rPr>
        <w:footnoteRef/>
      </w:r>
      <w:r w:rsidRPr="009A6F08">
        <w:rPr>
          <w:rFonts w:cs="Arial"/>
          <w:lang w:val="fr-FR"/>
        </w:rPr>
        <w:t xml:space="preserve"> Malassis and Padilla, </w:t>
      </w:r>
      <w:r w:rsidRPr="009A6F08">
        <w:rPr>
          <w:rFonts w:cs="Arial"/>
          <w:i/>
          <w:lang w:val="fr-FR"/>
        </w:rPr>
        <w:t>Économie agro-alimentaire</w:t>
      </w:r>
      <w:r w:rsidRPr="009A6F08">
        <w:rPr>
          <w:rFonts w:cs="Arial"/>
          <w:lang w:val="fr-FR"/>
        </w:rPr>
        <w:t xml:space="preserve">, pp. 225-30; Malassis, </w:t>
      </w:r>
      <w:r w:rsidRPr="009A6F08">
        <w:rPr>
          <w:rFonts w:cs="Arial"/>
          <w:i/>
          <w:lang w:val="fr-FR"/>
        </w:rPr>
        <w:t>Trois âges</w:t>
      </w:r>
      <w:r w:rsidRPr="009A6F08">
        <w:rPr>
          <w:rFonts w:cs="Arial"/>
          <w:lang w:val="fr-FR"/>
        </w:rPr>
        <w:t>.</w:t>
      </w:r>
    </w:p>
  </w:footnote>
  <w:footnote w:id="22">
    <w:p w14:paraId="3150DE88"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There are several different strands of both evolutionary economics and socioeconomics. What comes next is based on the history-friendly strands represented by economists Freeman and Louç</w:t>
      </w:r>
      <w:r w:rsidRPr="009A6F08">
        <w:rPr>
          <w:rFonts w:cs="Arial"/>
          <w:color w:val="222222"/>
          <w:shd w:val="clear" w:color="auto" w:fill="FFFFFF"/>
          <w:lang w:val="en-US"/>
        </w:rPr>
        <w:t xml:space="preserve">ã, </w:t>
      </w:r>
      <w:r w:rsidRPr="009A6F08">
        <w:rPr>
          <w:rFonts w:cs="Arial"/>
          <w:i/>
          <w:color w:val="222222"/>
          <w:shd w:val="clear" w:color="auto" w:fill="FFFFFF"/>
          <w:lang w:val="en-US"/>
        </w:rPr>
        <w:t>As time goes by</w:t>
      </w:r>
      <w:r w:rsidRPr="009A6F08">
        <w:rPr>
          <w:rFonts w:cs="Arial"/>
          <w:color w:val="222222"/>
          <w:shd w:val="clear" w:color="auto" w:fill="FFFFFF"/>
          <w:lang w:val="en-US"/>
        </w:rPr>
        <w:t>, and surveyed by sociologist Hellmich, ‘What is socioeconomics?’, pp. 16-17, respectively.</w:t>
      </w:r>
    </w:p>
  </w:footnote>
  <w:footnote w:id="23">
    <w:p w14:paraId="0675D1F7"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Collantes, ‘Dairy products’; id., ‘”Because they just don’t want to”’.</w:t>
      </w:r>
    </w:p>
  </w:footnote>
  <w:footnote w:id="24">
    <w:p w14:paraId="710499F0"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See a related (albeit not identical) differentiation in Mintz, </w:t>
      </w:r>
      <w:r w:rsidRPr="009A6F08">
        <w:rPr>
          <w:rFonts w:cs="Arial"/>
          <w:i/>
          <w:lang w:val="en-US"/>
        </w:rPr>
        <w:t>Tasting food</w:t>
      </w:r>
      <w:r w:rsidRPr="009A6F08">
        <w:rPr>
          <w:rFonts w:cs="Arial"/>
          <w:lang w:val="en-US"/>
        </w:rPr>
        <w:t>, who uses the notions of ‘outside meaning’ and ‘inside meaning’ to refer to ‘grand changes’ and ‘daily life’ variables, respectively.</w:t>
      </w:r>
    </w:p>
  </w:footnote>
  <w:footnote w:id="25">
    <w:p w14:paraId="589288A4"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Malassis and Padilla, </w:t>
      </w:r>
      <w:r w:rsidRPr="009A6F08">
        <w:rPr>
          <w:rFonts w:cs="Arial"/>
          <w:i/>
          <w:lang w:val="en-US"/>
        </w:rPr>
        <w:t>Économie agro-alimentaire</w:t>
      </w:r>
      <w:r w:rsidRPr="009A6F08">
        <w:rPr>
          <w:rFonts w:cs="Arial"/>
          <w:lang w:val="en-US"/>
        </w:rPr>
        <w:t>, pp. 248-257 ; Scholliers, ‘Post-1945 global food developments’, pp. 345-348.</w:t>
      </w:r>
    </w:p>
  </w:footnote>
  <w:footnote w:id="26">
    <w:p w14:paraId="0890F08B"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Granovetter, ‘Economic action’, classically argues that individual economic action is embedded in a wider set of social, cultural and political institutions.</w:t>
      </w:r>
    </w:p>
  </w:footnote>
  <w:footnote w:id="27">
    <w:p w14:paraId="3B68CCBA"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See Martin and Sunley, ‘Conceptualizing cluster evolution’, for a review of the literature on product life cycles.</w:t>
      </w:r>
    </w:p>
  </w:footnote>
  <w:footnote w:id="28">
    <w:p w14:paraId="3E82D94E"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INE, </w:t>
      </w:r>
      <w:r w:rsidRPr="009A6F08">
        <w:rPr>
          <w:rFonts w:cs="Arial"/>
          <w:i/>
        </w:rPr>
        <w:t>Encuesta de presupuestos familiares</w:t>
      </w:r>
      <w:r w:rsidRPr="009A6F08">
        <w:rPr>
          <w:rFonts w:cs="Arial"/>
        </w:rPr>
        <w:t>.</w:t>
      </w:r>
    </w:p>
  </w:footnote>
  <w:footnote w:id="29">
    <w:p w14:paraId="3CD76818"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See Collantes, ‘Evolución del consumo de productos lácteos’, for detailed source criticism.</w:t>
      </w:r>
    </w:p>
  </w:footnote>
  <w:footnote w:id="30">
    <w:p w14:paraId="2EC123A2"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Torregrossa, ‘Sticky income inequality’.</w:t>
      </w:r>
    </w:p>
  </w:footnote>
  <w:footnote w:id="31">
    <w:p w14:paraId="4280B932"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Population figures were taken from Nicolau, ‘Población’. The scale was calculated for census years first and interpolated to the rest of years later.</w:t>
      </w:r>
    </w:p>
  </w:footnote>
  <w:footnote w:id="32">
    <w:p w14:paraId="5F4D879B"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See for instance Ramos, ‘Industria láctea’.</w:t>
      </w:r>
    </w:p>
  </w:footnote>
  <w:footnote w:id="33">
    <w:p w14:paraId="3C583A59"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See Collantes, ‘Más allá de los promedios’, for details.</w:t>
      </w:r>
    </w:p>
  </w:footnote>
  <w:footnote w:id="34">
    <w:p w14:paraId="1FC33789"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Instituto Nacional de Estadística, www.ine.es, ‘Índice general de precios’.</w:t>
      </w:r>
    </w:p>
  </w:footnote>
  <w:footnote w:id="35">
    <w:p w14:paraId="1F363606"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Ministerio de Agricultura, </w:t>
      </w:r>
      <w:r w:rsidRPr="009A6F08">
        <w:rPr>
          <w:rFonts w:cs="Arial"/>
          <w:i/>
        </w:rPr>
        <w:t>Agricultura española</w:t>
      </w:r>
      <w:r w:rsidRPr="009A6F08">
        <w:rPr>
          <w:rFonts w:cs="Arial"/>
        </w:rPr>
        <w:t xml:space="preserve">; id., </w:t>
      </w:r>
      <w:r w:rsidRPr="009A6F08">
        <w:rPr>
          <w:rFonts w:cs="Arial"/>
          <w:i/>
        </w:rPr>
        <w:t>Anuario</w:t>
      </w:r>
      <w:r w:rsidRPr="009A6F08">
        <w:rPr>
          <w:rFonts w:cs="Arial"/>
        </w:rPr>
        <w:t xml:space="preserve">; MAPA, </w:t>
      </w:r>
      <w:r w:rsidRPr="009A6F08">
        <w:rPr>
          <w:rFonts w:cs="Arial"/>
          <w:i/>
        </w:rPr>
        <w:t>Anuario</w:t>
      </w:r>
      <w:r w:rsidRPr="009A6F08">
        <w:rPr>
          <w:rFonts w:cs="Arial"/>
        </w:rPr>
        <w:t>.</w:t>
      </w:r>
    </w:p>
  </w:footnote>
  <w:footnote w:id="36">
    <w:p w14:paraId="7DC340F1"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MAPA, </w:t>
      </w:r>
      <w:r w:rsidRPr="009A6F08">
        <w:rPr>
          <w:rFonts w:cs="Arial"/>
          <w:i/>
          <w:lang w:val="en-US"/>
        </w:rPr>
        <w:t>Consumo alimentario</w:t>
      </w:r>
      <w:r w:rsidRPr="009A6F08">
        <w:rPr>
          <w:rFonts w:cs="Arial"/>
          <w:lang w:val="en-US"/>
        </w:rPr>
        <w:t>.</w:t>
      </w:r>
    </w:p>
  </w:footnote>
  <w:footnote w:id="37">
    <w:p w14:paraId="469F69AB"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See DuPuis, </w:t>
      </w:r>
      <w:r w:rsidRPr="009A6F08">
        <w:rPr>
          <w:rFonts w:cs="Arial"/>
          <w:i/>
          <w:lang w:val="en-US"/>
        </w:rPr>
        <w:t>Nature’s perfect food</w:t>
      </w:r>
      <w:r w:rsidRPr="009A6F08">
        <w:rPr>
          <w:rFonts w:cs="Arial"/>
          <w:lang w:val="en-US"/>
        </w:rPr>
        <w:t>, for a defense of this sort of material, especially advertisements, as a source of information about consumer orientations.</w:t>
      </w:r>
    </w:p>
  </w:footnote>
  <w:footnote w:id="38">
    <w:p w14:paraId="6CA5925F"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See Maluquer de Motes, ‘Consumo’, for a general overview of consumption trends.</w:t>
      </w:r>
    </w:p>
  </w:footnote>
  <w:footnote w:id="39">
    <w:p w14:paraId="26ED2AC5" w14:textId="77777777" w:rsidR="00C60CA9" w:rsidRPr="009A6F08" w:rsidRDefault="00C60CA9" w:rsidP="00C60CA9">
      <w:pPr>
        <w:pStyle w:val="Textonotapie"/>
        <w:ind w:firstLine="709"/>
        <w:rPr>
          <w:rFonts w:cs="Arial"/>
          <w:lang w:val="fr-FR"/>
        </w:rPr>
      </w:pPr>
      <w:r w:rsidRPr="009A6F08">
        <w:rPr>
          <w:rStyle w:val="Refdenotaalpie"/>
          <w:rFonts w:cs="Arial"/>
        </w:rPr>
        <w:footnoteRef/>
      </w:r>
      <w:r w:rsidRPr="009A6F08">
        <w:rPr>
          <w:rFonts w:cs="Arial"/>
          <w:lang w:val="fr-FR"/>
        </w:rPr>
        <w:t xml:space="preserve"> Collantes, ‘Nutritional transitions’.</w:t>
      </w:r>
    </w:p>
  </w:footnote>
  <w:footnote w:id="40">
    <w:p w14:paraId="738E7C8A" w14:textId="77777777" w:rsidR="00C60CA9" w:rsidRPr="009A6F08" w:rsidRDefault="00C60CA9" w:rsidP="00C60CA9">
      <w:pPr>
        <w:pStyle w:val="Textonotapie"/>
        <w:ind w:firstLine="709"/>
        <w:rPr>
          <w:rFonts w:cs="Arial"/>
          <w:lang w:val="fr-FR"/>
        </w:rPr>
      </w:pPr>
      <w:r w:rsidRPr="009A6F08">
        <w:rPr>
          <w:rStyle w:val="Refdenotaalpie"/>
          <w:rFonts w:cs="Arial"/>
        </w:rPr>
        <w:footnoteRef/>
      </w:r>
      <w:r w:rsidRPr="009A6F08">
        <w:rPr>
          <w:rFonts w:cs="Arial"/>
          <w:lang w:val="fr-FR"/>
        </w:rPr>
        <w:t xml:space="preserve"> Collantes, ‘Dairy products’.</w:t>
      </w:r>
    </w:p>
  </w:footnote>
  <w:footnote w:id="41">
    <w:p w14:paraId="3C4CA415"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Prados de la Escosura, </w:t>
      </w:r>
      <w:r w:rsidRPr="009A6F08">
        <w:rPr>
          <w:rFonts w:cs="Arial"/>
          <w:i/>
        </w:rPr>
        <w:t>Progreso económico</w:t>
      </w:r>
      <w:r w:rsidRPr="009A6F08">
        <w:rPr>
          <w:rFonts w:cs="Arial"/>
        </w:rPr>
        <w:t xml:space="preserve">; id., ‘Inequality’; Maluquer de Motes, ‘Consumo’; Alonso and Conde, </w:t>
      </w:r>
      <w:r w:rsidRPr="009A6F08">
        <w:rPr>
          <w:rFonts w:cs="Arial"/>
          <w:i/>
        </w:rPr>
        <w:t>Historia del consumo</w:t>
      </w:r>
      <w:r w:rsidRPr="009A6F08">
        <w:rPr>
          <w:rFonts w:cs="Arial"/>
        </w:rPr>
        <w:t>.</w:t>
      </w:r>
    </w:p>
  </w:footnote>
  <w:footnote w:id="42">
    <w:p w14:paraId="633F8D79"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Calcedo, ‘Crisis, evolución y cambio’.</w:t>
      </w:r>
    </w:p>
  </w:footnote>
  <w:footnote w:id="43">
    <w:p w14:paraId="18233E9D"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Astarloa, ‘Las compensaciones de la Administración’; Martos, ‘Las empresas lácteas españolas en la hora de Europa’.</w:t>
      </w:r>
    </w:p>
  </w:footnote>
  <w:footnote w:id="44">
    <w:p w14:paraId="1B25D6D8"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Collantes, ‘Places in common’.</w:t>
      </w:r>
    </w:p>
  </w:footnote>
  <w:footnote w:id="45">
    <w:p w14:paraId="15AFCCBA"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Langreo, </w:t>
      </w:r>
      <w:r w:rsidRPr="009A6F08">
        <w:rPr>
          <w:rFonts w:cs="Arial"/>
          <w:i/>
        </w:rPr>
        <w:t>Historia de la industria láctea</w:t>
      </w:r>
      <w:r w:rsidRPr="009A6F08">
        <w:rPr>
          <w:rFonts w:cs="Arial"/>
        </w:rPr>
        <w:t>; Domínguez, ‘La industria láctea’.</w:t>
      </w:r>
    </w:p>
  </w:footnote>
  <w:footnote w:id="46">
    <w:p w14:paraId="144DAE26"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Briz, ‘Anotaciones al mercado lácteo’; Martos, ‘Las empresas lácteas españolas en la hora de Europa’; </w:t>
      </w:r>
      <w:r w:rsidRPr="009A6F08">
        <w:rPr>
          <w:rFonts w:cs="Arial"/>
          <w:i/>
        </w:rPr>
        <w:t>ILE</w:t>
      </w:r>
      <w:r w:rsidRPr="009A6F08">
        <w:rPr>
          <w:rFonts w:cs="Arial"/>
        </w:rPr>
        <w:t>, ‘Éxito’, pp. 18-19.</w:t>
      </w:r>
    </w:p>
  </w:footnote>
  <w:footnote w:id="47">
    <w:p w14:paraId="031EB296"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Collantes, ‘Food chains’.</w:t>
      </w:r>
    </w:p>
  </w:footnote>
  <w:footnote w:id="48">
    <w:p w14:paraId="4BB5E29B"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Collantes, ‘Food chains’.</w:t>
      </w:r>
    </w:p>
  </w:footnote>
  <w:footnote w:id="49">
    <w:p w14:paraId="1BC34468" w14:textId="77777777" w:rsidR="00C60CA9" w:rsidRPr="009A6F08" w:rsidRDefault="00C60CA9" w:rsidP="00C60CA9">
      <w:pPr>
        <w:pStyle w:val="Textonotapie"/>
        <w:tabs>
          <w:tab w:val="left" w:pos="709"/>
        </w:tabs>
        <w:ind w:firstLine="709"/>
        <w:rPr>
          <w:rFonts w:cs="Arial"/>
        </w:rPr>
      </w:pPr>
      <w:r w:rsidRPr="009A6F08">
        <w:rPr>
          <w:rStyle w:val="Refdenotaalpie"/>
          <w:rFonts w:cs="Arial"/>
        </w:rPr>
        <w:footnoteRef/>
      </w:r>
      <w:r w:rsidRPr="009A6F08">
        <w:rPr>
          <w:rFonts w:cs="Arial"/>
        </w:rPr>
        <w:t xml:space="preserve"> Langreo, </w:t>
      </w:r>
      <w:r w:rsidRPr="009A6F08">
        <w:rPr>
          <w:rFonts w:cs="Arial"/>
          <w:i/>
        </w:rPr>
        <w:t>Historia de la industria láctea</w:t>
      </w:r>
      <w:r w:rsidRPr="009A6F08">
        <w:rPr>
          <w:rFonts w:cs="Arial"/>
        </w:rPr>
        <w:t>.</w:t>
      </w:r>
    </w:p>
  </w:footnote>
  <w:footnote w:id="50">
    <w:p w14:paraId="2D240A12"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Collantes, ‘Food chains’.</w:t>
      </w:r>
    </w:p>
  </w:footnote>
  <w:footnote w:id="51">
    <w:p w14:paraId="5AA32888"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Collantes, ‘Evolución del consumo’.</w:t>
      </w:r>
    </w:p>
  </w:footnote>
  <w:footnote w:id="52">
    <w:p w14:paraId="4056DAFF"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Collantes, ‘”Because they just don’t want to”’.</w:t>
      </w:r>
    </w:p>
  </w:footnote>
  <w:footnote w:id="53">
    <w:p w14:paraId="5F1C5090" w14:textId="77777777" w:rsidR="00C60CA9" w:rsidRPr="009A6F08" w:rsidRDefault="00C60CA9" w:rsidP="00C60CA9">
      <w:pPr>
        <w:pStyle w:val="Textonotapie"/>
        <w:ind w:firstLine="709"/>
        <w:rPr>
          <w:rFonts w:cs="Arial"/>
          <w:lang w:val="en-GB"/>
        </w:rPr>
      </w:pPr>
      <w:r w:rsidRPr="009A6F08">
        <w:rPr>
          <w:rStyle w:val="Refdenotaalpie"/>
          <w:rFonts w:cs="Arial"/>
        </w:rPr>
        <w:footnoteRef/>
      </w:r>
      <w:r w:rsidRPr="009A6F08">
        <w:rPr>
          <w:rFonts w:cs="Arial"/>
        </w:rPr>
        <w:t xml:space="preserve"> Langreo, </w:t>
      </w:r>
      <w:r w:rsidRPr="009A6F08">
        <w:rPr>
          <w:rFonts w:cs="Arial"/>
          <w:i/>
        </w:rPr>
        <w:t>Historia de la industria láctea</w:t>
      </w:r>
      <w:r w:rsidRPr="009A6F08">
        <w:rPr>
          <w:rFonts w:cs="Arial"/>
        </w:rPr>
        <w:t xml:space="preserve">. </w:t>
      </w:r>
      <w:r w:rsidRPr="009A6F08">
        <w:rPr>
          <w:rFonts w:cs="Arial"/>
          <w:lang w:val="en-US"/>
        </w:rPr>
        <w:t xml:space="preserve">Prior to that, cheapness had even become a suspicious attribute; see </w:t>
      </w:r>
      <w:r w:rsidRPr="009A6F08">
        <w:rPr>
          <w:rFonts w:cs="Arial"/>
          <w:i/>
          <w:lang w:val="en-US"/>
        </w:rPr>
        <w:t>REL</w:t>
      </w:r>
      <w:r w:rsidRPr="009A6F08">
        <w:rPr>
          <w:rFonts w:cs="Arial"/>
          <w:lang w:val="en-US"/>
        </w:rPr>
        <w:t>, ‘Información’, pp. 54-55, for a particularly revealing testimony.</w:t>
      </w:r>
    </w:p>
  </w:footnote>
  <w:footnote w:id="54">
    <w:p w14:paraId="5C4B7BAD"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lang w:val="en-US"/>
        </w:rPr>
        <w:t xml:space="preserve"> This claim is based on a systematic revision of hundreds of advertisements published in </w:t>
      </w:r>
      <w:r w:rsidRPr="009A6F08">
        <w:rPr>
          <w:rFonts w:cs="Arial"/>
          <w:i/>
          <w:lang w:val="en-US"/>
        </w:rPr>
        <w:t>Revista Española de Lechería</w:t>
      </w:r>
      <w:r w:rsidRPr="009A6F08">
        <w:rPr>
          <w:rFonts w:cs="Arial"/>
          <w:lang w:val="en-US"/>
        </w:rPr>
        <w:t xml:space="preserve"> and </w:t>
      </w:r>
      <w:r w:rsidRPr="009A6F08">
        <w:rPr>
          <w:rFonts w:cs="Arial"/>
          <w:i/>
          <w:lang w:val="en-US"/>
        </w:rPr>
        <w:t>Industrias Lácteas Españolas</w:t>
      </w:r>
      <w:r w:rsidRPr="009A6F08">
        <w:rPr>
          <w:rFonts w:cs="Arial"/>
          <w:lang w:val="en-US"/>
        </w:rPr>
        <w:t xml:space="preserve">. </w:t>
      </w:r>
      <w:r w:rsidRPr="009A6F08">
        <w:rPr>
          <w:rFonts w:cs="Arial"/>
        </w:rPr>
        <w:t>The data on brands and market shares come from Martos, ‘Las empresas lácteas españolas en la hora europea’, p. 28.</w:t>
      </w:r>
    </w:p>
  </w:footnote>
  <w:footnote w:id="55">
    <w:p w14:paraId="56D4941B"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See for instance Ministerio de Agricultura, Pesca y Alimentación, ‘Campaña’, pp. 26-27.</w:t>
      </w:r>
    </w:p>
  </w:footnote>
  <w:footnote w:id="56">
    <w:p w14:paraId="3442BE1B"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Lacasa, ‘La publicidad’, p. 22.</w:t>
      </w:r>
    </w:p>
  </w:footnote>
  <w:footnote w:id="57">
    <w:p w14:paraId="7F83D3AB"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w:t>
      </w:r>
      <w:r w:rsidRPr="009A6F08">
        <w:rPr>
          <w:rFonts w:cs="Arial"/>
          <w:i/>
        </w:rPr>
        <w:t>REL</w:t>
      </w:r>
      <w:r w:rsidRPr="009A6F08">
        <w:rPr>
          <w:rFonts w:cs="Arial"/>
        </w:rPr>
        <w:t>, ‘Bibliografía’, p. 35.</w:t>
      </w:r>
    </w:p>
  </w:footnote>
  <w:footnote w:id="58">
    <w:p w14:paraId="7F5C3A5B"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This applies mostly to food regime analysis; see Friedmann, ‘Commentary’, for revealing insider criticism on this. See also Hamilton, ‘Analyzing commodity chains’, for outsider criticism on similar grounds. However, it also applies to the increasingly influential current in food history that is based on post-modern epistemologies; see Pilcher, ‘Introduction’, for illustrations.</w:t>
      </w:r>
    </w:p>
  </w:footnote>
  <w:footnote w:id="59">
    <w:p w14:paraId="1037C35A"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Goodman and Redclift, ‘Modernisation’.</w:t>
      </w:r>
    </w:p>
  </w:footnote>
  <w:footnote w:id="60">
    <w:p w14:paraId="464E04C6" w14:textId="77777777" w:rsidR="00C60CA9" w:rsidRPr="009A6F08" w:rsidRDefault="00C60CA9" w:rsidP="00C60CA9">
      <w:pPr>
        <w:pStyle w:val="Textonotapie"/>
        <w:ind w:firstLine="709"/>
        <w:rPr>
          <w:rFonts w:cs="Arial"/>
          <w:lang w:val="en-US"/>
        </w:rPr>
      </w:pPr>
      <w:r w:rsidRPr="009A6F08">
        <w:rPr>
          <w:rStyle w:val="Refdenotaalpie"/>
          <w:rFonts w:cs="Arial"/>
        </w:rPr>
        <w:footnoteRef/>
      </w:r>
      <w:r w:rsidRPr="009A6F08">
        <w:rPr>
          <w:rFonts w:cs="Arial"/>
          <w:lang w:val="en-US"/>
        </w:rPr>
        <w:t xml:space="preserve"> See also van Otterloo, ‘Fast food’.</w:t>
      </w:r>
    </w:p>
  </w:footnote>
  <w:footnote w:id="61">
    <w:p w14:paraId="3A19F8CC" w14:textId="77777777" w:rsidR="00C60CA9" w:rsidRPr="009A6F08" w:rsidRDefault="00C60CA9" w:rsidP="00C60CA9">
      <w:pPr>
        <w:pStyle w:val="Textonotapie"/>
        <w:ind w:firstLine="709"/>
        <w:rPr>
          <w:rFonts w:cs="Arial"/>
          <w:lang w:val="fr-FR"/>
        </w:rPr>
      </w:pPr>
      <w:r w:rsidRPr="009A6F08">
        <w:rPr>
          <w:rStyle w:val="Refdenotaalpie"/>
          <w:rFonts w:cs="Arial"/>
        </w:rPr>
        <w:footnoteRef/>
      </w:r>
      <w:r w:rsidRPr="009A6F08">
        <w:rPr>
          <w:rFonts w:cs="Arial"/>
          <w:lang w:val="fr-FR"/>
        </w:rPr>
        <w:t xml:space="preserve"> On qualitative substitutions, see Malassis, </w:t>
      </w:r>
      <w:r w:rsidRPr="009A6F08">
        <w:rPr>
          <w:rFonts w:cs="Arial"/>
          <w:i/>
          <w:lang w:val="fr-FR"/>
        </w:rPr>
        <w:t>Trois âges</w:t>
      </w:r>
      <w:r w:rsidRPr="009A6F08">
        <w:rPr>
          <w:rFonts w:cs="Arial"/>
          <w:lang w:val="fr-FR"/>
        </w:rPr>
        <w:t>.</w:t>
      </w:r>
    </w:p>
  </w:footnote>
  <w:footnote w:id="62">
    <w:p w14:paraId="116A6DEC" w14:textId="77777777" w:rsidR="00C60CA9" w:rsidRPr="009A6F08" w:rsidRDefault="00C60CA9" w:rsidP="00C60CA9">
      <w:pPr>
        <w:pStyle w:val="Textonotapie"/>
        <w:ind w:firstLine="709"/>
        <w:rPr>
          <w:rFonts w:cs="Arial"/>
        </w:rPr>
      </w:pPr>
      <w:r w:rsidRPr="009A6F08">
        <w:rPr>
          <w:rStyle w:val="Refdenotaalpie"/>
          <w:rFonts w:cs="Arial"/>
        </w:rPr>
        <w:footnoteRef/>
      </w:r>
      <w:r w:rsidRPr="009A6F08">
        <w:rPr>
          <w:rFonts w:cs="Arial"/>
        </w:rPr>
        <w:t xml:space="preserve"> See Prados de la Escosura, </w:t>
      </w:r>
      <w:r w:rsidRPr="009A6F08">
        <w:rPr>
          <w:rFonts w:cs="Arial"/>
          <w:i/>
        </w:rPr>
        <w:t>Progreso económico</w:t>
      </w:r>
      <w:r w:rsidRPr="009A6F08">
        <w:rPr>
          <w:rFonts w:cs="Arial"/>
        </w:rPr>
        <w:t>.</w:t>
      </w:r>
    </w:p>
  </w:footnote>
  <w:footnote w:id="63">
    <w:p w14:paraId="3B07B8F9" w14:textId="77777777" w:rsidR="00C60CA9" w:rsidRPr="009A6F08" w:rsidRDefault="00C60CA9" w:rsidP="00C60CA9">
      <w:pPr>
        <w:pStyle w:val="Textonotapie"/>
        <w:ind w:firstLine="709"/>
        <w:rPr>
          <w:rFonts w:cs="Arial"/>
          <w:lang w:val="fr-FR"/>
        </w:rPr>
      </w:pPr>
      <w:r w:rsidRPr="009A6F08">
        <w:rPr>
          <w:rStyle w:val="Refdenotaalpie"/>
          <w:rFonts w:cs="Arial"/>
        </w:rPr>
        <w:footnoteRef/>
      </w:r>
      <w:r w:rsidRPr="009A6F08">
        <w:rPr>
          <w:rFonts w:cs="Arial"/>
          <w:lang w:val="fr-FR"/>
        </w:rPr>
        <w:t xml:space="preserve"> Atkins, </w:t>
      </w:r>
      <w:r w:rsidRPr="009A6F08">
        <w:rPr>
          <w:rFonts w:cs="Arial"/>
          <w:i/>
          <w:lang w:val="fr-FR"/>
        </w:rPr>
        <w:t>Liquid materialities</w:t>
      </w:r>
      <w:r w:rsidRPr="009A6F08">
        <w:rPr>
          <w:rFonts w:cs="Arial"/>
          <w:lang w:val="fr-FR"/>
        </w:rPr>
        <w:t xml:space="preserve">; id., ‘Long genealogy’; Stanziani, </w:t>
      </w:r>
      <w:r w:rsidRPr="009A6F08">
        <w:rPr>
          <w:rFonts w:cs="Arial"/>
          <w:i/>
          <w:lang w:val="fr-FR"/>
        </w:rPr>
        <w:t>Histoire de la qualité alimentaire</w:t>
      </w:r>
      <w:r w:rsidRPr="009A6F08">
        <w:rPr>
          <w:rFonts w:cs="Arial"/>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D2"/>
    <w:rsid w:val="00002988"/>
    <w:rsid w:val="00010ADB"/>
    <w:rsid w:val="00015546"/>
    <w:rsid w:val="000245B8"/>
    <w:rsid w:val="00030ED2"/>
    <w:rsid w:val="000372C5"/>
    <w:rsid w:val="00037E60"/>
    <w:rsid w:val="00042B97"/>
    <w:rsid w:val="00063A4B"/>
    <w:rsid w:val="000657D6"/>
    <w:rsid w:val="00082A26"/>
    <w:rsid w:val="00085642"/>
    <w:rsid w:val="0009032D"/>
    <w:rsid w:val="000916E2"/>
    <w:rsid w:val="00092655"/>
    <w:rsid w:val="000A1D05"/>
    <w:rsid w:val="000A3BC8"/>
    <w:rsid w:val="000B48D7"/>
    <w:rsid w:val="000B561A"/>
    <w:rsid w:val="000C288E"/>
    <w:rsid w:val="000C592D"/>
    <w:rsid w:val="000D56E7"/>
    <w:rsid w:val="000E4998"/>
    <w:rsid w:val="00101C7C"/>
    <w:rsid w:val="001025BB"/>
    <w:rsid w:val="00116D72"/>
    <w:rsid w:val="001205C6"/>
    <w:rsid w:val="001458D3"/>
    <w:rsid w:val="001502C2"/>
    <w:rsid w:val="00153722"/>
    <w:rsid w:val="00155605"/>
    <w:rsid w:val="001839E6"/>
    <w:rsid w:val="00192942"/>
    <w:rsid w:val="00194A1B"/>
    <w:rsid w:val="001A4EEB"/>
    <w:rsid w:val="001B0291"/>
    <w:rsid w:val="001B05B3"/>
    <w:rsid w:val="001D2E68"/>
    <w:rsid w:val="001E0F4F"/>
    <w:rsid w:val="002059B0"/>
    <w:rsid w:val="0024237F"/>
    <w:rsid w:val="002430FB"/>
    <w:rsid w:val="0024407B"/>
    <w:rsid w:val="00245F13"/>
    <w:rsid w:val="002478C1"/>
    <w:rsid w:val="00247E1B"/>
    <w:rsid w:val="00260488"/>
    <w:rsid w:val="00262E88"/>
    <w:rsid w:val="0026379A"/>
    <w:rsid w:val="00271C34"/>
    <w:rsid w:val="00280DE4"/>
    <w:rsid w:val="002812CD"/>
    <w:rsid w:val="002A461E"/>
    <w:rsid w:val="002A5A22"/>
    <w:rsid w:val="002B509B"/>
    <w:rsid w:val="002C79D1"/>
    <w:rsid w:val="002E0A05"/>
    <w:rsid w:val="002F2138"/>
    <w:rsid w:val="00317355"/>
    <w:rsid w:val="00334314"/>
    <w:rsid w:val="003476AF"/>
    <w:rsid w:val="0035309D"/>
    <w:rsid w:val="00365A17"/>
    <w:rsid w:val="00381D24"/>
    <w:rsid w:val="003855F7"/>
    <w:rsid w:val="00391771"/>
    <w:rsid w:val="003A0E3D"/>
    <w:rsid w:val="003B0641"/>
    <w:rsid w:val="003B33FC"/>
    <w:rsid w:val="003B78E3"/>
    <w:rsid w:val="0041586E"/>
    <w:rsid w:val="00425250"/>
    <w:rsid w:val="004335A0"/>
    <w:rsid w:val="004365AC"/>
    <w:rsid w:val="00436678"/>
    <w:rsid w:val="0044114E"/>
    <w:rsid w:val="00456EA4"/>
    <w:rsid w:val="00460284"/>
    <w:rsid w:val="00481FB7"/>
    <w:rsid w:val="004D1844"/>
    <w:rsid w:val="004E1968"/>
    <w:rsid w:val="00512F98"/>
    <w:rsid w:val="00533F0F"/>
    <w:rsid w:val="005361EF"/>
    <w:rsid w:val="005422DD"/>
    <w:rsid w:val="00545395"/>
    <w:rsid w:val="0055329D"/>
    <w:rsid w:val="00564726"/>
    <w:rsid w:val="0058535E"/>
    <w:rsid w:val="005B56DB"/>
    <w:rsid w:val="005E3C64"/>
    <w:rsid w:val="005E6C73"/>
    <w:rsid w:val="005F1A77"/>
    <w:rsid w:val="00604B76"/>
    <w:rsid w:val="00644946"/>
    <w:rsid w:val="00662342"/>
    <w:rsid w:val="0068341C"/>
    <w:rsid w:val="006B53C6"/>
    <w:rsid w:val="006C6B65"/>
    <w:rsid w:val="006D48C0"/>
    <w:rsid w:val="006E3FFD"/>
    <w:rsid w:val="006F33EA"/>
    <w:rsid w:val="00706277"/>
    <w:rsid w:val="00710279"/>
    <w:rsid w:val="007364DA"/>
    <w:rsid w:val="007712EF"/>
    <w:rsid w:val="007731ED"/>
    <w:rsid w:val="007779B8"/>
    <w:rsid w:val="00783786"/>
    <w:rsid w:val="0079322D"/>
    <w:rsid w:val="007944BA"/>
    <w:rsid w:val="007A32B7"/>
    <w:rsid w:val="007C0656"/>
    <w:rsid w:val="007D218C"/>
    <w:rsid w:val="00810CF3"/>
    <w:rsid w:val="00816EC4"/>
    <w:rsid w:val="008307F2"/>
    <w:rsid w:val="008433FE"/>
    <w:rsid w:val="00843880"/>
    <w:rsid w:val="00877BBC"/>
    <w:rsid w:val="00891D2E"/>
    <w:rsid w:val="00895305"/>
    <w:rsid w:val="008954E3"/>
    <w:rsid w:val="008A3935"/>
    <w:rsid w:val="008B2DE7"/>
    <w:rsid w:val="008B77D5"/>
    <w:rsid w:val="008C03B6"/>
    <w:rsid w:val="008C680B"/>
    <w:rsid w:val="008D6047"/>
    <w:rsid w:val="00906F17"/>
    <w:rsid w:val="009155B3"/>
    <w:rsid w:val="00916E44"/>
    <w:rsid w:val="009351D4"/>
    <w:rsid w:val="00941840"/>
    <w:rsid w:val="009419EF"/>
    <w:rsid w:val="00966EC6"/>
    <w:rsid w:val="009729C8"/>
    <w:rsid w:val="00985FA0"/>
    <w:rsid w:val="00996AA5"/>
    <w:rsid w:val="009A5FC4"/>
    <w:rsid w:val="009A6F08"/>
    <w:rsid w:val="009B7FC3"/>
    <w:rsid w:val="009D00B0"/>
    <w:rsid w:val="009D1F38"/>
    <w:rsid w:val="009D1F46"/>
    <w:rsid w:val="009D7DCC"/>
    <w:rsid w:val="00A041E2"/>
    <w:rsid w:val="00A05F08"/>
    <w:rsid w:val="00A12D9A"/>
    <w:rsid w:val="00A1661D"/>
    <w:rsid w:val="00A33302"/>
    <w:rsid w:val="00A431A7"/>
    <w:rsid w:val="00A53813"/>
    <w:rsid w:val="00A72F79"/>
    <w:rsid w:val="00A913FD"/>
    <w:rsid w:val="00A96849"/>
    <w:rsid w:val="00AA0A85"/>
    <w:rsid w:val="00AA7230"/>
    <w:rsid w:val="00AC23CB"/>
    <w:rsid w:val="00AC2B27"/>
    <w:rsid w:val="00AC6569"/>
    <w:rsid w:val="00AC7927"/>
    <w:rsid w:val="00AF4283"/>
    <w:rsid w:val="00AF5340"/>
    <w:rsid w:val="00B07B94"/>
    <w:rsid w:val="00B12796"/>
    <w:rsid w:val="00B16D8F"/>
    <w:rsid w:val="00B30D8E"/>
    <w:rsid w:val="00B52C20"/>
    <w:rsid w:val="00B71917"/>
    <w:rsid w:val="00B7641E"/>
    <w:rsid w:val="00B97CC4"/>
    <w:rsid w:val="00BA2481"/>
    <w:rsid w:val="00BB01EC"/>
    <w:rsid w:val="00BB7AD8"/>
    <w:rsid w:val="00BC081A"/>
    <w:rsid w:val="00BC5AC6"/>
    <w:rsid w:val="00BD7193"/>
    <w:rsid w:val="00C20852"/>
    <w:rsid w:val="00C209D2"/>
    <w:rsid w:val="00C32FC1"/>
    <w:rsid w:val="00C56039"/>
    <w:rsid w:val="00C56CC8"/>
    <w:rsid w:val="00C57975"/>
    <w:rsid w:val="00C60CA9"/>
    <w:rsid w:val="00CA25DB"/>
    <w:rsid w:val="00CB5542"/>
    <w:rsid w:val="00CB6F0B"/>
    <w:rsid w:val="00CE0062"/>
    <w:rsid w:val="00CE4079"/>
    <w:rsid w:val="00CE766E"/>
    <w:rsid w:val="00CE7D6E"/>
    <w:rsid w:val="00CF05E3"/>
    <w:rsid w:val="00D0013D"/>
    <w:rsid w:val="00D053E5"/>
    <w:rsid w:val="00D23081"/>
    <w:rsid w:val="00D27D89"/>
    <w:rsid w:val="00D40D76"/>
    <w:rsid w:val="00D46E15"/>
    <w:rsid w:val="00D54761"/>
    <w:rsid w:val="00D66F1A"/>
    <w:rsid w:val="00DB4513"/>
    <w:rsid w:val="00DB64E6"/>
    <w:rsid w:val="00DB7EF7"/>
    <w:rsid w:val="00DD210D"/>
    <w:rsid w:val="00DD308A"/>
    <w:rsid w:val="00DE39A8"/>
    <w:rsid w:val="00DE4B77"/>
    <w:rsid w:val="00E01D01"/>
    <w:rsid w:val="00E07721"/>
    <w:rsid w:val="00E4080B"/>
    <w:rsid w:val="00E429EC"/>
    <w:rsid w:val="00E608B4"/>
    <w:rsid w:val="00E647E3"/>
    <w:rsid w:val="00E843D8"/>
    <w:rsid w:val="00EE0647"/>
    <w:rsid w:val="00EE3032"/>
    <w:rsid w:val="00F346A8"/>
    <w:rsid w:val="00F445B9"/>
    <w:rsid w:val="00F80C0B"/>
    <w:rsid w:val="00F8508D"/>
    <w:rsid w:val="00FC4034"/>
    <w:rsid w:val="00FD2F69"/>
    <w:rsid w:val="00FF2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C1E4"/>
  <w15:docId w15:val="{CFA82F0A-7C87-4ACB-8BA9-15BC2C63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ajorHAns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D2"/>
    <w:rPr>
      <w:rFonts w:ascii="Arial" w:hAnsi="Arial" w:cs="Times New Roman"/>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aliases w:val="MAPA"/>
    <w:basedOn w:val="Tablanormal"/>
    <w:uiPriority w:val="59"/>
    <w:rsid w:val="005F1A77"/>
    <w:pPr>
      <w:spacing w:line="240" w:lineRule="auto"/>
      <w:jc w:val="right"/>
    </w:pPr>
    <w:rPr>
      <w:sz w:val="20"/>
    </w:rPr>
    <w:tblPr>
      <w:tblBorders>
        <w:top w:val="single" w:sz="12" w:space="0" w:color="00B050"/>
        <w:bottom w:val="single" w:sz="4" w:space="0" w:color="auto"/>
      </w:tblBorders>
    </w:tblPr>
    <w:tcPr>
      <w:shd w:val="clear" w:color="auto" w:fill="auto"/>
      <w:vAlign w:val="center"/>
    </w:tcPr>
    <w:tblStylePr w:type="firstRow">
      <w:pPr>
        <w:jc w:val="center"/>
      </w:pPr>
      <w:rPr>
        <w:i w:val="0"/>
      </w:rPr>
      <w:tblPr/>
      <w:tcPr>
        <w:tcBorders>
          <w:top w:val="single" w:sz="4" w:space="0" w:color="auto"/>
          <w:left w:val="nil"/>
          <w:bottom w:val="single" w:sz="4" w:space="0" w:color="auto"/>
          <w:right w:val="nil"/>
          <w:insideH w:val="nil"/>
          <w:insideV w:val="nil"/>
          <w:tl2br w:val="nil"/>
          <w:tr2bl w:val="nil"/>
        </w:tcBorders>
        <w:shd w:val="clear" w:color="auto" w:fill="auto"/>
      </w:tcPr>
    </w:tblStylePr>
    <w:tblStylePr w:type="firstCol">
      <w:pPr>
        <w:jc w:val="left"/>
      </w:pPr>
    </w:tblStylePr>
    <w:tblStylePr w:type="lastCol">
      <w:tblPr/>
      <w:tcPr>
        <w:tcBorders>
          <w:bottom w:val="single" w:sz="4" w:space="0" w:color="auto"/>
        </w:tcBorders>
        <w:shd w:val="clear" w:color="auto" w:fill="auto"/>
      </w:tcPr>
    </w:tblStylePr>
  </w:style>
  <w:style w:type="table" w:customStyle="1" w:styleId="CJE">
    <w:name w:val="CJE"/>
    <w:basedOn w:val="Tablanormal"/>
    <w:uiPriority w:val="99"/>
    <w:qFormat/>
    <w:rsid w:val="0024407B"/>
    <w:pPr>
      <w:spacing w:line="240" w:lineRule="auto"/>
      <w:jc w:val="right"/>
    </w:pPr>
    <w:tblPr>
      <w:tblBorders>
        <w:top w:val="single" w:sz="4" w:space="0" w:color="auto"/>
        <w:bottom w:val="single" w:sz="4" w:space="0" w:color="auto"/>
      </w:tblBorders>
    </w:tblPr>
    <w:tblStylePr w:type="firstRow">
      <w:pPr>
        <w:wordWrap/>
        <w:jc w:val="center"/>
      </w:pPr>
      <w:tblPr/>
      <w:tcPr>
        <w:tcBorders>
          <w:top w:val="single" w:sz="12" w:space="0" w:color="auto"/>
          <w:bottom w:val="single" w:sz="4" w:space="0" w:color="auto"/>
        </w:tcBorders>
      </w:tcPr>
    </w:tblStylePr>
    <w:tblStylePr w:type="lastRow">
      <w:tblPr/>
      <w:tcPr>
        <w:tcBorders>
          <w:top w:val="nil"/>
          <w:left w:val="nil"/>
          <w:bottom w:val="single" w:sz="4" w:space="0" w:color="auto"/>
          <w:right w:val="nil"/>
          <w:insideH w:val="nil"/>
          <w:insideV w:val="nil"/>
        </w:tcBorders>
      </w:tcPr>
    </w:tblStylePr>
    <w:tblStylePr w:type="firstCol">
      <w:pPr>
        <w:wordWrap/>
        <w:jc w:val="left"/>
      </w:pPr>
    </w:tblStylePr>
  </w:style>
  <w:style w:type="table" w:customStyle="1" w:styleId="Tesis">
    <w:name w:val="Tesis"/>
    <w:basedOn w:val="Tablanormal"/>
    <w:uiPriority w:val="99"/>
    <w:rsid w:val="00BC081A"/>
    <w:pPr>
      <w:spacing w:line="240" w:lineRule="auto"/>
      <w:jc w:val="right"/>
    </w:pPr>
    <w:tblPr>
      <w:tblBorders>
        <w:top w:val="single" w:sz="12" w:space="0" w:color="009900"/>
        <w:bottom w:val="single" w:sz="12" w:space="0" w:color="009900"/>
      </w:tblBorders>
    </w:tblPr>
    <w:tblStylePr w:type="firstRow">
      <w:pPr>
        <w:wordWrap/>
        <w:jc w:val="center"/>
      </w:pPr>
      <w:rPr>
        <w:i w:val="0"/>
      </w:rPr>
      <w:tblPr/>
      <w:tcPr>
        <w:tcBorders>
          <w:bottom w:val="single" w:sz="4" w:space="0" w:color="008000"/>
        </w:tcBorders>
      </w:tcPr>
    </w:tblStylePr>
    <w:tblStylePr w:type="firstCol">
      <w:pPr>
        <w:wordWrap/>
        <w:jc w:val="left"/>
      </w:pPr>
    </w:tblStylePr>
  </w:style>
  <w:style w:type="table" w:customStyle="1" w:styleId="Ager">
    <w:name w:val="Ager"/>
    <w:basedOn w:val="Tablanormal"/>
    <w:uiPriority w:val="99"/>
    <w:rsid w:val="00CE0062"/>
    <w:pPr>
      <w:spacing w:line="240" w:lineRule="auto"/>
      <w:jc w:val="right"/>
    </w:pPr>
    <w:rPr>
      <w:rFonts w:eastAsia="Arial"/>
      <w:sz w:val="20"/>
      <w:szCs w:val="20"/>
      <w:lang w:eastAsia="es-ES"/>
    </w:rPr>
    <w:tblPr/>
    <w:tcPr>
      <w:shd w:val="clear" w:color="auto" w:fill="D9D9D9" w:themeFill="background1" w:themeFillShade="D9"/>
      <w:vAlign w:val="center"/>
    </w:tcPr>
    <w:tblStylePr w:type="firstRow">
      <w:pPr>
        <w:jc w:val="center"/>
      </w:pPr>
      <w:tblPr/>
      <w:tcPr>
        <w:shd w:val="clear" w:color="auto" w:fill="808080" w:themeFill="background1" w:themeFillShade="80"/>
        <w:vAlign w:val="center"/>
      </w:tcPr>
    </w:tblStylePr>
  </w:style>
  <w:style w:type="table" w:customStyle="1" w:styleId="HistAgr">
    <w:name w:val="Hist Agr"/>
    <w:basedOn w:val="Tablanormal"/>
    <w:uiPriority w:val="99"/>
    <w:qFormat/>
    <w:rsid w:val="00BA2481"/>
    <w:pPr>
      <w:spacing w:line="240" w:lineRule="auto"/>
      <w:jc w:val="right"/>
    </w:pPr>
    <w:rPr>
      <w:sz w:val="20"/>
    </w:rPr>
    <w:tblPr>
      <w:jc w:val="center"/>
      <w:tblBorders>
        <w:top w:val="single" w:sz="4" w:space="0" w:color="auto"/>
        <w:bottom w:val="single" w:sz="4" w:space="0" w:color="auto"/>
      </w:tblBorders>
    </w:tblPr>
    <w:trPr>
      <w:jc w:val="center"/>
    </w:trPr>
    <w:tblStylePr w:type="firstRow">
      <w:pPr>
        <w:wordWrap/>
        <w:jc w:val="center"/>
      </w:pPr>
      <w:tblPr/>
      <w:tcPr>
        <w:tcBorders>
          <w:top w:val="single" w:sz="4" w:space="0" w:color="auto"/>
          <w:left w:val="nil"/>
          <w:bottom w:val="single" w:sz="4" w:space="0" w:color="auto"/>
          <w:right w:val="nil"/>
          <w:insideH w:val="nil"/>
          <w:insideV w:val="nil"/>
          <w:tl2br w:val="nil"/>
          <w:tr2bl w:val="nil"/>
        </w:tcBorders>
      </w:tcPr>
    </w:tblStylePr>
    <w:tblStylePr w:type="firstCol">
      <w:pPr>
        <w:wordWrap/>
        <w:jc w:val="left"/>
      </w:pPr>
    </w:tblStylePr>
  </w:style>
  <w:style w:type="table" w:customStyle="1" w:styleId="RDH">
    <w:name w:val="RDH"/>
    <w:basedOn w:val="Tablanormal"/>
    <w:uiPriority w:val="99"/>
    <w:rsid w:val="009B7FC3"/>
    <w:pPr>
      <w:spacing w:line="240" w:lineRule="auto"/>
      <w:jc w:val="right"/>
    </w:pPr>
    <w:rPr>
      <w:sz w:val="20"/>
    </w:rPr>
    <w:tblPr>
      <w:tblBorders>
        <w:top w:val="single" w:sz="12" w:space="0" w:color="auto"/>
        <w:left w:val="single" w:sz="12" w:space="0" w:color="auto"/>
        <w:bottom w:val="single" w:sz="12" w:space="0" w:color="auto"/>
        <w:right w:val="single" w:sz="12" w:space="0" w:color="auto"/>
        <w:insideV w:val="single" w:sz="4" w:space="0" w:color="auto"/>
      </w:tblBorders>
    </w:tblPr>
    <w:tblStylePr w:type="firstRow">
      <w:pPr>
        <w:wordWrap/>
        <w:jc w:val="center"/>
      </w:pPr>
      <w:tblPr/>
      <w:tcPr>
        <w:tcBorders>
          <w:top w:val="single" w:sz="12" w:space="0" w:color="auto"/>
          <w:left w:val="single" w:sz="12" w:space="0" w:color="auto"/>
          <w:bottom w:val="single" w:sz="4" w:space="0" w:color="auto"/>
          <w:right w:val="single" w:sz="12" w:space="0" w:color="auto"/>
          <w:insideV w:val="single" w:sz="4" w:space="0" w:color="auto"/>
        </w:tcBorders>
      </w:tcPr>
    </w:tblStylePr>
    <w:tblStylePr w:type="firstCol">
      <w:pPr>
        <w:wordWrap/>
        <w:jc w:val="left"/>
      </w:pPr>
    </w:tblStylePr>
  </w:style>
  <w:style w:type="table" w:customStyle="1" w:styleId="Agerverde">
    <w:name w:val="Ager verde"/>
    <w:basedOn w:val="Tablanormal"/>
    <w:uiPriority w:val="99"/>
    <w:rsid w:val="00CB6F0B"/>
    <w:pPr>
      <w:spacing w:line="240" w:lineRule="auto"/>
      <w:jc w:val="right"/>
    </w:pPr>
    <w:rPr>
      <w:rFonts w:eastAsia="Arial"/>
      <w:szCs w:val="20"/>
      <w:lang w:eastAsia="es-ES"/>
    </w:rPr>
    <w:tblPr/>
    <w:tcPr>
      <w:shd w:val="clear" w:color="auto" w:fill="CCFF99"/>
      <w:vAlign w:val="center"/>
    </w:tcPr>
    <w:tblStylePr w:type="firstRow">
      <w:pPr>
        <w:jc w:val="center"/>
      </w:pPr>
      <w:tblPr/>
      <w:tcPr>
        <w:shd w:val="clear" w:color="auto" w:fill="33CC33"/>
      </w:tcPr>
    </w:tblStylePr>
    <w:tblStylePr w:type="firstCol">
      <w:pPr>
        <w:jc w:val="left"/>
      </w:pPr>
      <w:tblPr/>
      <w:tcPr>
        <w:vAlign w:val="top"/>
      </w:tcPr>
    </w:tblStylePr>
  </w:style>
  <w:style w:type="paragraph" w:styleId="Textonotapie">
    <w:name w:val="footnote text"/>
    <w:basedOn w:val="Normal"/>
    <w:link w:val="TextonotapieCar"/>
    <w:uiPriority w:val="99"/>
    <w:unhideWhenUsed/>
    <w:rsid w:val="00030ED2"/>
    <w:pPr>
      <w:spacing w:line="240" w:lineRule="auto"/>
    </w:pPr>
    <w:rPr>
      <w:sz w:val="20"/>
      <w:szCs w:val="20"/>
    </w:rPr>
  </w:style>
  <w:style w:type="character" w:customStyle="1" w:styleId="TextonotapieCar">
    <w:name w:val="Texto nota pie Car"/>
    <w:basedOn w:val="Fuentedeprrafopredeter"/>
    <w:link w:val="Textonotapie"/>
    <w:uiPriority w:val="99"/>
    <w:rsid w:val="00030ED2"/>
    <w:rPr>
      <w:rFonts w:ascii="Arial" w:hAnsi="Arial" w:cs="Times New Roman"/>
      <w:sz w:val="20"/>
      <w:szCs w:val="20"/>
    </w:rPr>
  </w:style>
  <w:style w:type="character" w:styleId="Refdenotaalpie">
    <w:name w:val="footnote reference"/>
    <w:basedOn w:val="Fuentedeprrafopredeter"/>
    <w:uiPriority w:val="99"/>
    <w:semiHidden/>
    <w:unhideWhenUsed/>
    <w:rsid w:val="00030ED2"/>
    <w:rPr>
      <w:vertAlign w:val="superscript"/>
    </w:rPr>
  </w:style>
  <w:style w:type="character" w:styleId="Hipervnculo">
    <w:name w:val="Hyperlink"/>
    <w:basedOn w:val="Fuentedeprrafopredeter"/>
    <w:uiPriority w:val="99"/>
    <w:unhideWhenUsed/>
    <w:rsid w:val="009351D4"/>
    <w:rPr>
      <w:color w:val="0000FF" w:themeColor="hyperlink"/>
      <w:u w:val="single"/>
    </w:rPr>
  </w:style>
  <w:style w:type="paragraph" w:styleId="Encabezado">
    <w:name w:val="header"/>
    <w:basedOn w:val="Normal"/>
    <w:link w:val="EncabezadoCar"/>
    <w:uiPriority w:val="99"/>
    <w:unhideWhenUsed/>
    <w:rsid w:val="008307F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307F2"/>
    <w:rPr>
      <w:rFonts w:ascii="Arial" w:hAnsi="Arial" w:cs="Times New Roman"/>
      <w:szCs w:val="32"/>
    </w:rPr>
  </w:style>
  <w:style w:type="paragraph" w:styleId="Piedepgina">
    <w:name w:val="footer"/>
    <w:basedOn w:val="Normal"/>
    <w:link w:val="PiedepginaCar"/>
    <w:uiPriority w:val="99"/>
    <w:unhideWhenUsed/>
    <w:rsid w:val="008307F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307F2"/>
    <w:rPr>
      <w:rFonts w:ascii="Arial" w:hAnsi="Arial" w:cs="Times New Roman"/>
      <w:szCs w:val="32"/>
    </w:rPr>
  </w:style>
  <w:style w:type="character" w:customStyle="1" w:styleId="apple-converted-space">
    <w:name w:val="apple-converted-space"/>
    <w:basedOn w:val="Fuentedeprrafopredeter"/>
    <w:rsid w:val="00C6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usuario\Dropbox\Investigaci&#243;n\Consumo\Congresos%20y%20publicaciones\Why%20did%20the%20industrial%20diet%20triumph\Env&#237;o%20a%20Economic%20History%20Review\Segundo%20env&#237;o\Env&#237;o%20definitivo\Why%20did%20the%20industrial%20diet%20triumph%20-%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uario\Dropbox\Investigaci&#243;n\Consumo\Congresos%20y%20publicaciones\Why%20did%20the%20industrial%20diet%20triumph\Env&#237;o%20a%20Economic%20History%20Review\Segundo%20env&#237;o\Env&#237;o%20definitivo\Why%20did%20the%20industrial%20diet%20triumph%20-%20Figur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Dropbox\Investigaci&#243;n\Consumo\Congresos%20y%20publicaciones\Why%20did%20the%20industrial%20diet%20triumph\Env&#237;o%20a%20Economic%20History%20Review\Segundo%20env&#237;o\Env&#237;o%20definitivo\Why%20did%20the%20industrial%20diet%20triumph%20-%20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Dropbox\Investigaci&#243;n\Consumo\Congresos%20y%20publicaciones\Why%20did%20the%20industrial%20diet%20triumph\Env&#237;o%20a%20Economic%20History%20Review\Segundo%20env&#237;o\Env&#237;o%20definitivo\Why%20did%20the%20industrial%20diet%20triumph%20-%20Figur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Dropbox\Investigaci&#243;n\Consumo\Congresos%20y%20publicaciones\Why%20did%20the%20industrial%20diet%20triumph\Env&#237;o%20a%20Economic%20History%20Review\Segundo%20env&#237;o\Env&#237;o%20definitivo\Why%20did%20the%20industrial%20diet%20triumph%20-%20Figu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Dropbox\Investigaci&#243;n\Consumo\Congresos%20y%20publicaciones\Why%20did%20the%20industrial%20diet%20triumph\Env&#237;o%20a%20Economic%20History%20Review\Segundo%20env&#237;o\Env&#237;o%20definitivo\Why%20did%20the%20industrial%20diet%20triumph%20-%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07174103237096E-2"/>
          <c:y val="4.2970571366402123E-2"/>
          <c:w val="0.8284409448818898"/>
          <c:h val="0.79425586082852184"/>
        </c:manualLayout>
      </c:layout>
      <c:lineChart>
        <c:grouping val="standard"/>
        <c:varyColors val="0"/>
        <c:ser>
          <c:idx val="0"/>
          <c:order val="0"/>
          <c:tx>
            <c:v>France</c:v>
          </c:tx>
          <c:spPr>
            <a:ln>
              <a:solidFill>
                <a:schemeClr val="bg1">
                  <a:lumMod val="75000"/>
                </a:schemeClr>
              </a:solidFill>
            </a:ln>
          </c:spPr>
          <c:marker>
            <c:symbol val="diamond"/>
            <c:size val="4"/>
            <c:spPr>
              <a:solidFill>
                <a:schemeClr val="bg1">
                  <a:lumMod val="75000"/>
                </a:schemeClr>
              </a:solidFill>
              <a:ln>
                <a:solidFill>
                  <a:schemeClr val="bg1">
                    <a:lumMod val="75000"/>
                  </a:schemeClr>
                </a:solidFill>
              </a:ln>
            </c:spPr>
          </c:marker>
          <c:cat>
            <c:strRef>
              <c:f>'\usuario\Dropbox\Investigación\Consumo\Datos\Datos sobre lácteos\Datos en bruto\Faostat\[Datos de consumo de lácteos en países individuales.xlsx]StatisticalData (3)'!$B$3:$BS$3</c:f>
              <c:strCache>
                <c:ptCount val="70"/>
                <c:pt idx="0">
                  <c:v>1935/8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pt idx="51">
                  <c:v>1989</c:v>
                </c:pt>
                <c:pt idx="52">
                  <c:v>1990</c:v>
                </c:pt>
                <c:pt idx="53">
                  <c:v>1991</c:v>
                </c:pt>
                <c:pt idx="54">
                  <c:v>1992</c:v>
                </c:pt>
                <c:pt idx="55">
                  <c:v>1993</c:v>
                </c:pt>
                <c:pt idx="56">
                  <c:v>1994</c:v>
                </c:pt>
                <c:pt idx="57">
                  <c:v>1995</c:v>
                </c:pt>
                <c:pt idx="58">
                  <c:v>1996</c:v>
                </c:pt>
                <c:pt idx="59">
                  <c:v>1997</c:v>
                </c:pt>
                <c:pt idx="60">
                  <c:v>1998</c:v>
                </c:pt>
                <c:pt idx="61">
                  <c:v>1999</c:v>
                </c:pt>
                <c:pt idx="62">
                  <c:v>2000</c:v>
                </c:pt>
                <c:pt idx="63">
                  <c:v>2001</c:v>
                </c:pt>
                <c:pt idx="64">
                  <c:v>2002</c:v>
                </c:pt>
                <c:pt idx="65">
                  <c:v>2003</c:v>
                </c:pt>
                <c:pt idx="66">
                  <c:v>2004</c:v>
                </c:pt>
                <c:pt idx="67">
                  <c:v>2005</c:v>
                </c:pt>
                <c:pt idx="68">
                  <c:v>2006</c:v>
                </c:pt>
                <c:pt idx="69">
                  <c:v>2007</c:v>
                </c:pt>
              </c:strCache>
            </c:strRef>
          </c:cat>
          <c:val>
            <c:numRef>
              <c:f>'\usuario\Dropbox\Investigación\Consumo\Datos\Datos sobre lácteos\Datos en bruto\Faostat\[Datos de consumo de lácteos en países individuales.xlsx]StatisticalData (3)'!$B$117:$BS$117</c:f>
              <c:numCache>
                <c:formatCode>General</c:formatCode>
                <c:ptCount val="70"/>
                <c:pt idx="0">
                  <c:v>142.715</c:v>
                </c:pt>
                <c:pt idx="23">
                  <c:v>219.30043177892918</c:v>
                </c:pt>
                <c:pt idx="24">
                  <c:v>212.82794943820224</c:v>
                </c:pt>
                <c:pt idx="25">
                  <c:v>216.16025506565424</c:v>
                </c:pt>
                <c:pt idx="26">
                  <c:v>213.51376412634019</c:v>
                </c:pt>
                <c:pt idx="27">
                  <c:v>215.94710889225354</c:v>
                </c:pt>
                <c:pt idx="28">
                  <c:v>224.00668923438673</c:v>
                </c:pt>
                <c:pt idx="29">
                  <c:v>233.45200684035811</c:v>
                </c:pt>
                <c:pt idx="30">
                  <c:v>249.81639180409795</c:v>
                </c:pt>
                <c:pt idx="31">
                  <c:v>229.18327175942477</c:v>
                </c:pt>
                <c:pt idx="32">
                  <c:v>237.97329599242664</c:v>
                </c:pt>
                <c:pt idx="33">
                  <c:v>235.47639543755992</c:v>
                </c:pt>
                <c:pt idx="34">
                  <c:v>235.39303308894836</c:v>
                </c:pt>
                <c:pt idx="35">
                  <c:v>237.1275307146565</c:v>
                </c:pt>
                <c:pt idx="36">
                  <c:v>232.45331960099941</c:v>
                </c:pt>
                <c:pt idx="37">
                  <c:v>228.08444621242256</c:v>
                </c:pt>
                <c:pt idx="38">
                  <c:v>235.2474566691786</c:v>
                </c:pt>
                <c:pt idx="39">
                  <c:v>253.22096338535414</c:v>
                </c:pt>
                <c:pt idx="40">
                  <c:v>255.87662580355808</c:v>
                </c:pt>
                <c:pt idx="41">
                  <c:v>276.52653919907658</c:v>
                </c:pt>
                <c:pt idx="42">
                  <c:v>269.83361450473666</c:v>
                </c:pt>
                <c:pt idx="43">
                  <c:v>281.68184417836653</c:v>
                </c:pt>
                <c:pt idx="44">
                  <c:v>276.64102328824941</c:v>
                </c:pt>
                <c:pt idx="45">
                  <c:v>276.49271871236175</c:v>
                </c:pt>
                <c:pt idx="46">
                  <c:v>276.90056070696255</c:v>
                </c:pt>
                <c:pt idx="47">
                  <c:v>292.8819973291948</c:v>
                </c:pt>
                <c:pt idx="48">
                  <c:v>294.25180385540438</c:v>
                </c:pt>
                <c:pt idx="49">
                  <c:v>287.43573583760332</c:v>
                </c:pt>
                <c:pt idx="50">
                  <c:v>275.78190440667129</c:v>
                </c:pt>
                <c:pt idx="51">
                  <c:v>276.41776246023329</c:v>
                </c:pt>
                <c:pt idx="52">
                  <c:v>267.25292896597824</c:v>
                </c:pt>
                <c:pt idx="53">
                  <c:v>287.17431433675438</c:v>
                </c:pt>
                <c:pt idx="54">
                  <c:v>279.92509461274176</c:v>
                </c:pt>
                <c:pt idx="55">
                  <c:v>272.91023102310231</c:v>
                </c:pt>
                <c:pt idx="56">
                  <c:v>266.8707087486157</c:v>
                </c:pt>
                <c:pt idx="57">
                  <c:v>263.43712182592355</c:v>
                </c:pt>
                <c:pt idx="58">
                  <c:v>256.3732307269479</c:v>
                </c:pt>
                <c:pt idx="59">
                  <c:v>255.88183436612002</c:v>
                </c:pt>
                <c:pt idx="60">
                  <c:v>261.63687836823794</c:v>
                </c:pt>
                <c:pt idx="61">
                  <c:v>266.05547160200359</c:v>
                </c:pt>
                <c:pt idx="62">
                  <c:v>264.0240487730735</c:v>
                </c:pt>
                <c:pt idx="63">
                  <c:v>272.27224375429944</c:v>
                </c:pt>
                <c:pt idx="64">
                  <c:v>278.9093725019984</c:v>
                </c:pt>
                <c:pt idx="65">
                  <c:v>270.88867961934972</c:v>
                </c:pt>
                <c:pt idx="66">
                  <c:v>264.85584315525466</c:v>
                </c:pt>
                <c:pt idx="67">
                  <c:v>260.1082105948409</c:v>
                </c:pt>
                <c:pt idx="68">
                  <c:v>258.01057482415717</c:v>
                </c:pt>
                <c:pt idx="69">
                  <c:v>254.11721399752454</c:v>
                </c:pt>
              </c:numCache>
            </c:numRef>
          </c:val>
          <c:smooth val="0"/>
          <c:extLst>
            <c:ext xmlns:c16="http://schemas.microsoft.com/office/drawing/2014/chart" uri="{C3380CC4-5D6E-409C-BE32-E72D297353CC}">
              <c16:uniqueId val="{00000000-705E-4BD3-8181-87D39ADAA1E2}"/>
            </c:ext>
          </c:extLst>
        </c:ser>
        <c:ser>
          <c:idx val="1"/>
          <c:order val="1"/>
          <c:tx>
            <c:v>Germany</c:v>
          </c:tx>
          <c:spPr>
            <a:ln>
              <a:solidFill>
                <a:schemeClr val="tx1">
                  <a:lumMod val="50000"/>
                  <a:lumOff val="50000"/>
                </a:schemeClr>
              </a:solidFill>
            </a:ln>
          </c:spPr>
          <c:marker>
            <c:symbol val="circle"/>
            <c:size val="7"/>
            <c:spPr>
              <a:noFill/>
              <a:ln>
                <a:solidFill>
                  <a:schemeClr val="tx1">
                    <a:lumMod val="50000"/>
                    <a:lumOff val="50000"/>
                  </a:schemeClr>
                </a:solidFill>
              </a:ln>
            </c:spPr>
          </c:marker>
          <c:cat>
            <c:strRef>
              <c:f>'\usuario\Dropbox\Investigación\Consumo\Datos\Datos sobre lácteos\Datos en bruto\Faostat\[Datos de consumo de lácteos en países individuales.xlsx]StatisticalData (3)'!$B$3:$BS$3</c:f>
              <c:strCache>
                <c:ptCount val="70"/>
                <c:pt idx="0">
                  <c:v>1935/8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pt idx="51">
                  <c:v>1989</c:v>
                </c:pt>
                <c:pt idx="52">
                  <c:v>1990</c:v>
                </c:pt>
                <c:pt idx="53">
                  <c:v>1991</c:v>
                </c:pt>
                <c:pt idx="54">
                  <c:v>1992</c:v>
                </c:pt>
                <c:pt idx="55">
                  <c:v>1993</c:v>
                </c:pt>
                <c:pt idx="56">
                  <c:v>1994</c:v>
                </c:pt>
                <c:pt idx="57">
                  <c:v>1995</c:v>
                </c:pt>
                <c:pt idx="58">
                  <c:v>1996</c:v>
                </c:pt>
                <c:pt idx="59">
                  <c:v>1997</c:v>
                </c:pt>
                <c:pt idx="60">
                  <c:v>1998</c:v>
                </c:pt>
                <c:pt idx="61">
                  <c:v>1999</c:v>
                </c:pt>
                <c:pt idx="62">
                  <c:v>2000</c:v>
                </c:pt>
                <c:pt idx="63">
                  <c:v>2001</c:v>
                </c:pt>
                <c:pt idx="64">
                  <c:v>2002</c:v>
                </c:pt>
                <c:pt idx="65">
                  <c:v>2003</c:v>
                </c:pt>
                <c:pt idx="66">
                  <c:v>2004</c:v>
                </c:pt>
                <c:pt idx="67">
                  <c:v>2005</c:v>
                </c:pt>
                <c:pt idx="68">
                  <c:v>2006</c:v>
                </c:pt>
                <c:pt idx="69">
                  <c:v>2007</c:v>
                </c:pt>
              </c:strCache>
            </c:strRef>
          </c:cat>
          <c:val>
            <c:numRef>
              <c:f>'\usuario\Dropbox\Investigación\Consumo\Datos\Datos sobre lácteos\Datos en bruto\Faostat\[Datos de consumo de lácteos en países individuales.xlsx]StatisticalData (3)'!$B$118:$BS$118</c:f>
              <c:numCache>
                <c:formatCode>General</c:formatCode>
                <c:ptCount val="70"/>
                <c:pt idx="0">
                  <c:v>191.99000000000004</c:v>
                </c:pt>
                <c:pt idx="23">
                  <c:v>171.09396481732071</c:v>
                </c:pt>
                <c:pt idx="24">
                  <c:v>174.21087294774117</c:v>
                </c:pt>
                <c:pt idx="25">
                  <c:v>179.29344778558806</c:v>
                </c:pt>
                <c:pt idx="26">
                  <c:v>177.33269273801847</c:v>
                </c:pt>
                <c:pt idx="27">
                  <c:v>178.97820103059161</c:v>
                </c:pt>
                <c:pt idx="28">
                  <c:v>169.46139118510757</c:v>
                </c:pt>
                <c:pt idx="29">
                  <c:v>172.84162495186754</c:v>
                </c:pt>
                <c:pt idx="30">
                  <c:v>174.66259654847178</c:v>
                </c:pt>
                <c:pt idx="31">
                  <c:v>177.0779113819799</c:v>
                </c:pt>
                <c:pt idx="32">
                  <c:v>177.89199994955038</c:v>
                </c:pt>
                <c:pt idx="33">
                  <c:v>174.76070804470538</c:v>
                </c:pt>
                <c:pt idx="34">
                  <c:v>175.30840851768662</c:v>
                </c:pt>
                <c:pt idx="35">
                  <c:v>178.6370600699625</c:v>
                </c:pt>
                <c:pt idx="36">
                  <c:v>180.00466410892952</c:v>
                </c:pt>
                <c:pt idx="37">
                  <c:v>180.2828183996287</c:v>
                </c:pt>
                <c:pt idx="38">
                  <c:v>186.11779329047809</c:v>
                </c:pt>
                <c:pt idx="39">
                  <c:v>180.65749842866123</c:v>
                </c:pt>
                <c:pt idx="40">
                  <c:v>186.96564313681057</c:v>
                </c:pt>
                <c:pt idx="41">
                  <c:v>188.80533662879409</c:v>
                </c:pt>
                <c:pt idx="42">
                  <c:v>195.15557857242104</c:v>
                </c:pt>
                <c:pt idx="43">
                  <c:v>195.22712837966068</c:v>
                </c:pt>
                <c:pt idx="44">
                  <c:v>196.37950127974455</c:v>
                </c:pt>
                <c:pt idx="45">
                  <c:v>217.99870625689678</c:v>
                </c:pt>
                <c:pt idx="46">
                  <c:v>223.39858676071347</c:v>
                </c:pt>
                <c:pt idx="47">
                  <c:v>221.3465067937538</c:v>
                </c:pt>
                <c:pt idx="48">
                  <c:v>219.26328172434731</c:v>
                </c:pt>
                <c:pt idx="49">
                  <c:v>229.40143003064352</c:v>
                </c:pt>
                <c:pt idx="50">
                  <c:v>241.13090603099647</c:v>
                </c:pt>
                <c:pt idx="51">
                  <c:v>234.49672590037738</c:v>
                </c:pt>
                <c:pt idx="52">
                  <c:v>220.56651384695664</c:v>
                </c:pt>
                <c:pt idx="53">
                  <c:v>234.00212277540544</c:v>
                </c:pt>
                <c:pt idx="54">
                  <c:v>227.24436140888207</c:v>
                </c:pt>
                <c:pt idx="55">
                  <c:v>222.26527211918517</c:v>
                </c:pt>
                <c:pt idx="56">
                  <c:v>230.61334138972811</c:v>
                </c:pt>
                <c:pt idx="57">
                  <c:v>233.95889257709146</c:v>
                </c:pt>
                <c:pt idx="58">
                  <c:v>230.04431040065236</c:v>
                </c:pt>
                <c:pt idx="59">
                  <c:v>231.50932435831407</c:v>
                </c:pt>
                <c:pt idx="60">
                  <c:v>223.77576316451299</c:v>
                </c:pt>
                <c:pt idx="61">
                  <c:v>230.29508569785966</c:v>
                </c:pt>
                <c:pt idx="62">
                  <c:v>225.70217453779097</c:v>
                </c:pt>
                <c:pt idx="63">
                  <c:v>234.01077970400681</c:v>
                </c:pt>
                <c:pt idx="64">
                  <c:v>247.1496206010635</c:v>
                </c:pt>
                <c:pt idx="65">
                  <c:v>250.7943738960233</c:v>
                </c:pt>
                <c:pt idx="66">
                  <c:v>241.69366360958389</c:v>
                </c:pt>
                <c:pt idx="67">
                  <c:v>248.99589675079918</c:v>
                </c:pt>
                <c:pt idx="68">
                  <c:v>254.66862909004061</c:v>
                </c:pt>
                <c:pt idx="69">
                  <c:v>259.43982340061501</c:v>
                </c:pt>
              </c:numCache>
            </c:numRef>
          </c:val>
          <c:smooth val="0"/>
          <c:extLst>
            <c:ext xmlns:c16="http://schemas.microsoft.com/office/drawing/2014/chart" uri="{C3380CC4-5D6E-409C-BE32-E72D297353CC}">
              <c16:uniqueId val="{00000001-705E-4BD3-8181-87D39ADAA1E2}"/>
            </c:ext>
          </c:extLst>
        </c:ser>
        <c:ser>
          <c:idx val="2"/>
          <c:order val="2"/>
          <c:tx>
            <c:v>Italy</c:v>
          </c:tx>
          <c:spPr>
            <a:ln>
              <a:solidFill>
                <a:schemeClr val="bg1">
                  <a:lumMod val="75000"/>
                </a:schemeClr>
              </a:solidFill>
            </a:ln>
          </c:spPr>
          <c:marker>
            <c:symbol val="triangle"/>
            <c:size val="7"/>
            <c:spPr>
              <a:noFill/>
              <a:ln>
                <a:solidFill>
                  <a:schemeClr val="bg1">
                    <a:lumMod val="75000"/>
                  </a:schemeClr>
                </a:solidFill>
              </a:ln>
            </c:spPr>
          </c:marker>
          <c:cat>
            <c:strRef>
              <c:f>'\usuario\Dropbox\Investigación\Consumo\Datos\Datos sobre lácteos\Datos en bruto\Faostat\[Datos de consumo de lácteos en países individuales.xlsx]StatisticalData (3)'!$B$3:$BS$3</c:f>
              <c:strCache>
                <c:ptCount val="70"/>
                <c:pt idx="0">
                  <c:v>1935/8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pt idx="51">
                  <c:v>1989</c:v>
                </c:pt>
                <c:pt idx="52">
                  <c:v>1990</c:v>
                </c:pt>
                <c:pt idx="53">
                  <c:v>1991</c:v>
                </c:pt>
                <c:pt idx="54">
                  <c:v>1992</c:v>
                </c:pt>
                <c:pt idx="55">
                  <c:v>1993</c:v>
                </c:pt>
                <c:pt idx="56">
                  <c:v>1994</c:v>
                </c:pt>
                <c:pt idx="57">
                  <c:v>1995</c:v>
                </c:pt>
                <c:pt idx="58">
                  <c:v>1996</c:v>
                </c:pt>
                <c:pt idx="59">
                  <c:v>1997</c:v>
                </c:pt>
                <c:pt idx="60">
                  <c:v>1998</c:v>
                </c:pt>
                <c:pt idx="61">
                  <c:v>1999</c:v>
                </c:pt>
                <c:pt idx="62">
                  <c:v>2000</c:v>
                </c:pt>
                <c:pt idx="63">
                  <c:v>2001</c:v>
                </c:pt>
                <c:pt idx="64">
                  <c:v>2002</c:v>
                </c:pt>
                <c:pt idx="65">
                  <c:v>2003</c:v>
                </c:pt>
                <c:pt idx="66">
                  <c:v>2004</c:v>
                </c:pt>
                <c:pt idx="67">
                  <c:v>2005</c:v>
                </c:pt>
                <c:pt idx="68">
                  <c:v>2006</c:v>
                </c:pt>
                <c:pt idx="69">
                  <c:v>2007</c:v>
                </c:pt>
              </c:strCache>
            </c:strRef>
          </c:cat>
          <c:val>
            <c:numRef>
              <c:f>'\usuario\Dropbox\Investigación\Consumo\Datos\Datos sobre lácteos\Datos en bruto\Faostat\[Datos de consumo de lácteos en países individuales.xlsx]StatisticalData (3)'!$B$119:$BS$119</c:f>
              <c:numCache>
                <c:formatCode>General</c:formatCode>
                <c:ptCount val="70"/>
                <c:pt idx="0">
                  <c:v>78.840000000000018</c:v>
                </c:pt>
                <c:pt idx="23">
                  <c:v>146.70651345606225</c:v>
                </c:pt>
                <c:pt idx="24">
                  <c:v>144.94708036460614</c:v>
                </c:pt>
                <c:pt idx="25">
                  <c:v>151.38335176117516</c:v>
                </c:pt>
                <c:pt idx="26">
                  <c:v>150.05533248457544</c:v>
                </c:pt>
                <c:pt idx="27">
                  <c:v>153.37770392396945</c:v>
                </c:pt>
                <c:pt idx="28">
                  <c:v>163.88599317116456</c:v>
                </c:pt>
                <c:pt idx="29">
                  <c:v>178.46375562577802</c:v>
                </c:pt>
                <c:pt idx="30">
                  <c:v>184.36600486840103</c:v>
                </c:pt>
                <c:pt idx="31">
                  <c:v>182.08528317564634</c:v>
                </c:pt>
                <c:pt idx="32">
                  <c:v>183.82084989873229</c:v>
                </c:pt>
                <c:pt idx="33">
                  <c:v>184.53921787709498</c:v>
                </c:pt>
                <c:pt idx="34">
                  <c:v>196.43405333431963</c:v>
                </c:pt>
                <c:pt idx="35">
                  <c:v>202.98859252727874</c:v>
                </c:pt>
                <c:pt idx="36">
                  <c:v>204.97291031562037</c:v>
                </c:pt>
                <c:pt idx="37">
                  <c:v>201.90186042290588</c:v>
                </c:pt>
                <c:pt idx="38">
                  <c:v>205.36069126171515</c:v>
                </c:pt>
                <c:pt idx="39">
                  <c:v>215.75475937943804</c:v>
                </c:pt>
                <c:pt idx="40">
                  <c:v>226.81702447671401</c:v>
                </c:pt>
                <c:pt idx="41">
                  <c:v>248.34254005638226</c:v>
                </c:pt>
                <c:pt idx="42">
                  <c:v>250.79454296437274</c:v>
                </c:pt>
                <c:pt idx="43">
                  <c:v>251.20251525471832</c:v>
                </c:pt>
                <c:pt idx="44">
                  <c:v>261.77290745000886</c:v>
                </c:pt>
                <c:pt idx="45">
                  <c:v>269.41879481473632</c:v>
                </c:pt>
                <c:pt idx="46">
                  <c:v>268.16163219242094</c:v>
                </c:pt>
                <c:pt idx="47">
                  <c:v>277.70314591700134</c:v>
                </c:pt>
                <c:pt idx="48">
                  <c:v>268.13052509285501</c:v>
                </c:pt>
                <c:pt idx="49">
                  <c:v>263.92041954842227</c:v>
                </c:pt>
                <c:pt idx="50">
                  <c:v>261.9917816415599</c:v>
                </c:pt>
                <c:pt idx="51">
                  <c:v>258.87911797831902</c:v>
                </c:pt>
                <c:pt idx="52">
                  <c:v>255.66327069256758</c:v>
                </c:pt>
                <c:pt idx="53">
                  <c:v>252.78202444815759</c:v>
                </c:pt>
                <c:pt idx="54">
                  <c:v>249.04923190494603</c:v>
                </c:pt>
                <c:pt idx="55">
                  <c:v>241.96701617577321</c:v>
                </c:pt>
                <c:pt idx="56">
                  <c:v>243.512130468366</c:v>
                </c:pt>
                <c:pt idx="57">
                  <c:v>233.52253058788421</c:v>
                </c:pt>
                <c:pt idx="58">
                  <c:v>253.28738781460211</c:v>
                </c:pt>
                <c:pt idx="59">
                  <c:v>249.94858227714593</c:v>
                </c:pt>
                <c:pt idx="60">
                  <c:v>275.46988566402814</c:v>
                </c:pt>
                <c:pt idx="61">
                  <c:v>271.74075571888244</c:v>
                </c:pt>
                <c:pt idx="62">
                  <c:v>276.32369353876391</c:v>
                </c:pt>
                <c:pt idx="63">
                  <c:v>257.97349650349651</c:v>
                </c:pt>
                <c:pt idx="64">
                  <c:v>262.44397488739327</c:v>
                </c:pt>
                <c:pt idx="65">
                  <c:v>255.44020875095043</c:v>
                </c:pt>
                <c:pt idx="66">
                  <c:v>256.07983936018672</c:v>
                </c:pt>
                <c:pt idx="67">
                  <c:v>264.82420916280336</c:v>
                </c:pt>
                <c:pt idx="68">
                  <c:v>264.98248078811065</c:v>
                </c:pt>
                <c:pt idx="69">
                  <c:v>257.57228591601387</c:v>
                </c:pt>
              </c:numCache>
            </c:numRef>
          </c:val>
          <c:smooth val="0"/>
          <c:extLst>
            <c:ext xmlns:c16="http://schemas.microsoft.com/office/drawing/2014/chart" uri="{C3380CC4-5D6E-409C-BE32-E72D297353CC}">
              <c16:uniqueId val="{00000002-705E-4BD3-8181-87D39ADAA1E2}"/>
            </c:ext>
          </c:extLst>
        </c:ser>
        <c:ser>
          <c:idx val="3"/>
          <c:order val="3"/>
          <c:tx>
            <c:v>Spain</c:v>
          </c:tx>
          <c:spPr>
            <a:ln w="38100">
              <a:solidFill>
                <a:schemeClr val="tx1"/>
              </a:solidFill>
            </a:ln>
          </c:spPr>
          <c:marker>
            <c:symbol val="none"/>
          </c:marker>
          <c:dPt>
            <c:idx val="0"/>
            <c:marker>
              <c:symbol val="circle"/>
              <c:size val="5"/>
              <c:spPr>
                <a:solidFill>
                  <a:schemeClr val="tx1"/>
                </a:solidFill>
                <a:ln>
                  <a:solidFill>
                    <a:schemeClr val="tx1"/>
                  </a:solidFill>
                </a:ln>
              </c:spPr>
            </c:marker>
            <c:bubble3D val="0"/>
            <c:extLst>
              <c:ext xmlns:c16="http://schemas.microsoft.com/office/drawing/2014/chart" uri="{C3380CC4-5D6E-409C-BE32-E72D297353CC}">
                <c16:uniqueId val="{00000003-705E-4BD3-8181-87D39ADAA1E2}"/>
              </c:ext>
            </c:extLst>
          </c:dPt>
          <c:cat>
            <c:strRef>
              <c:f>'\usuario\Dropbox\Investigación\Consumo\Datos\Datos sobre lácteos\Datos en bruto\Faostat\[Datos de consumo de lácteos en países individuales.xlsx]StatisticalData (3)'!$B$3:$BS$3</c:f>
              <c:strCache>
                <c:ptCount val="70"/>
                <c:pt idx="0">
                  <c:v>1935/8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pt idx="51">
                  <c:v>1989</c:v>
                </c:pt>
                <c:pt idx="52">
                  <c:v>1990</c:v>
                </c:pt>
                <c:pt idx="53">
                  <c:v>1991</c:v>
                </c:pt>
                <c:pt idx="54">
                  <c:v>1992</c:v>
                </c:pt>
                <c:pt idx="55">
                  <c:v>1993</c:v>
                </c:pt>
                <c:pt idx="56">
                  <c:v>1994</c:v>
                </c:pt>
                <c:pt idx="57">
                  <c:v>1995</c:v>
                </c:pt>
                <c:pt idx="58">
                  <c:v>1996</c:v>
                </c:pt>
                <c:pt idx="59">
                  <c:v>1997</c:v>
                </c:pt>
                <c:pt idx="60">
                  <c:v>1998</c:v>
                </c:pt>
                <c:pt idx="61">
                  <c:v>1999</c:v>
                </c:pt>
                <c:pt idx="62">
                  <c:v>2000</c:v>
                </c:pt>
                <c:pt idx="63">
                  <c:v>2001</c:v>
                </c:pt>
                <c:pt idx="64">
                  <c:v>2002</c:v>
                </c:pt>
                <c:pt idx="65">
                  <c:v>2003</c:v>
                </c:pt>
                <c:pt idx="66">
                  <c:v>2004</c:v>
                </c:pt>
                <c:pt idx="67">
                  <c:v>2005</c:v>
                </c:pt>
                <c:pt idx="68">
                  <c:v>2006</c:v>
                </c:pt>
                <c:pt idx="69">
                  <c:v>2007</c:v>
                </c:pt>
              </c:strCache>
            </c:strRef>
          </c:cat>
          <c:val>
            <c:numRef>
              <c:f>'\usuario\Dropbox\Investigación\Consumo\Datos\Datos sobre lácteos\Datos en bruto\Faostat\[Datos de consumo de lácteos en países individuales.xlsx]StatisticalData (3)'!$B$120:$BS$120</c:f>
              <c:numCache>
                <c:formatCode>General</c:formatCode>
                <c:ptCount val="70"/>
                <c:pt idx="0">
                  <c:v>65.7</c:v>
                </c:pt>
                <c:pt idx="23">
                  <c:v>83.279695481016361</c:v>
                </c:pt>
                <c:pt idx="24">
                  <c:v>83.387816180729871</c:v>
                </c:pt>
                <c:pt idx="25">
                  <c:v>94.936189172846184</c:v>
                </c:pt>
                <c:pt idx="26">
                  <c:v>93.479777155267385</c:v>
                </c:pt>
                <c:pt idx="27">
                  <c:v>91.674908139752134</c:v>
                </c:pt>
                <c:pt idx="28">
                  <c:v>101.96912077413788</c:v>
                </c:pt>
                <c:pt idx="29">
                  <c:v>108.82230900659019</c:v>
                </c:pt>
                <c:pt idx="30">
                  <c:v>112.2019152342688</c:v>
                </c:pt>
                <c:pt idx="31">
                  <c:v>121.32851888400467</c:v>
                </c:pt>
                <c:pt idx="32">
                  <c:v>121.30059770387028</c:v>
                </c:pt>
                <c:pt idx="33">
                  <c:v>129.168807983845</c:v>
                </c:pt>
                <c:pt idx="34">
                  <c:v>128.35229771964347</c:v>
                </c:pt>
                <c:pt idx="35">
                  <c:v>131.11756459042661</c:v>
                </c:pt>
                <c:pt idx="36">
                  <c:v>144.62159103768246</c:v>
                </c:pt>
                <c:pt idx="37">
                  <c:v>142.26749489353367</c:v>
                </c:pt>
                <c:pt idx="38">
                  <c:v>148.08097109954602</c:v>
                </c:pt>
                <c:pt idx="39">
                  <c:v>148.37374318511823</c:v>
                </c:pt>
                <c:pt idx="40">
                  <c:v>157.1839835060496</c:v>
                </c:pt>
                <c:pt idx="41">
                  <c:v>162.24298964914638</c:v>
                </c:pt>
                <c:pt idx="42">
                  <c:v>164.41485077214412</c:v>
                </c:pt>
                <c:pt idx="43">
                  <c:v>159.61019732485764</c:v>
                </c:pt>
                <c:pt idx="44">
                  <c:v>171.36823674995392</c:v>
                </c:pt>
                <c:pt idx="45">
                  <c:v>177.52865824907005</c:v>
                </c:pt>
                <c:pt idx="46">
                  <c:v>182.07076898998329</c:v>
                </c:pt>
                <c:pt idx="47">
                  <c:v>175.89628820960698</c:v>
                </c:pt>
                <c:pt idx="48">
                  <c:v>160.32473692395416</c:v>
                </c:pt>
                <c:pt idx="49">
                  <c:v>156.2860504810179</c:v>
                </c:pt>
                <c:pt idx="50">
                  <c:v>152.25340733092412</c:v>
                </c:pt>
                <c:pt idx="51">
                  <c:v>151.23812100597814</c:v>
                </c:pt>
                <c:pt idx="52">
                  <c:v>151.64894684052157</c:v>
                </c:pt>
                <c:pt idx="53">
                  <c:v>161.09555333179381</c:v>
                </c:pt>
                <c:pt idx="54">
                  <c:v>157.21179631525078</c:v>
                </c:pt>
                <c:pt idx="55">
                  <c:v>165.20187769472153</c:v>
                </c:pt>
                <c:pt idx="56">
                  <c:v>165.87324481074481</c:v>
                </c:pt>
                <c:pt idx="57">
                  <c:v>161.91715075721063</c:v>
                </c:pt>
                <c:pt idx="58">
                  <c:v>166.14045654704663</c:v>
                </c:pt>
                <c:pt idx="59">
                  <c:v>157.26467023532976</c:v>
                </c:pt>
                <c:pt idx="60">
                  <c:v>166.06360432922224</c:v>
                </c:pt>
                <c:pt idx="61">
                  <c:v>165.28238828389036</c:v>
                </c:pt>
                <c:pt idx="62">
                  <c:v>167.99597845244892</c:v>
                </c:pt>
                <c:pt idx="63">
                  <c:v>166.18423829035504</c:v>
                </c:pt>
                <c:pt idx="64">
                  <c:v>165.41197668512831</c:v>
                </c:pt>
                <c:pt idx="65">
                  <c:v>167.79874333587205</c:v>
                </c:pt>
                <c:pt idx="66">
                  <c:v>171.84464996487941</c:v>
                </c:pt>
                <c:pt idx="67">
                  <c:v>166.26657754626962</c:v>
                </c:pt>
                <c:pt idx="68">
                  <c:v>168.48360506835007</c:v>
                </c:pt>
                <c:pt idx="69">
                  <c:v>174.68213773956654</c:v>
                </c:pt>
              </c:numCache>
            </c:numRef>
          </c:val>
          <c:smooth val="0"/>
          <c:extLst>
            <c:ext xmlns:c16="http://schemas.microsoft.com/office/drawing/2014/chart" uri="{C3380CC4-5D6E-409C-BE32-E72D297353CC}">
              <c16:uniqueId val="{00000004-705E-4BD3-8181-87D39ADAA1E2}"/>
            </c:ext>
          </c:extLst>
        </c:ser>
        <c:ser>
          <c:idx val="4"/>
          <c:order val="4"/>
          <c:tx>
            <c:v>United Kingdom</c:v>
          </c:tx>
          <c:spPr>
            <a:ln>
              <a:solidFill>
                <a:schemeClr val="tx1">
                  <a:lumMod val="50000"/>
                  <a:lumOff val="50000"/>
                </a:schemeClr>
              </a:solidFill>
            </a:ln>
          </c:spPr>
          <c:marker>
            <c:symbol val="square"/>
            <c:size val="4"/>
            <c:spPr>
              <a:solidFill>
                <a:schemeClr val="tx1">
                  <a:lumMod val="50000"/>
                  <a:lumOff val="50000"/>
                </a:schemeClr>
              </a:solidFill>
              <a:ln>
                <a:solidFill>
                  <a:schemeClr val="tx1">
                    <a:lumMod val="50000"/>
                    <a:lumOff val="50000"/>
                  </a:schemeClr>
                </a:solidFill>
              </a:ln>
            </c:spPr>
          </c:marker>
          <c:cat>
            <c:strRef>
              <c:f>'\usuario\Dropbox\Investigación\Consumo\Datos\Datos sobre lácteos\Datos en bruto\Faostat\[Datos de consumo de lácteos en países individuales.xlsx]StatisticalData (3)'!$B$3:$BS$3</c:f>
              <c:strCache>
                <c:ptCount val="70"/>
                <c:pt idx="0">
                  <c:v>1935/8</c:v>
                </c:pt>
                <c:pt idx="1">
                  <c:v>1939</c:v>
                </c:pt>
                <c:pt idx="2">
                  <c:v>1940</c:v>
                </c:pt>
                <c:pt idx="3">
                  <c:v>1941</c:v>
                </c:pt>
                <c:pt idx="4">
                  <c:v>1942</c:v>
                </c:pt>
                <c:pt idx="5">
                  <c:v>1943</c:v>
                </c:pt>
                <c:pt idx="6">
                  <c:v>1944</c:v>
                </c:pt>
                <c:pt idx="7">
                  <c:v>1945</c:v>
                </c:pt>
                <c:pt idx="8">
                  <c:v>1946</c:v>
                </c:pt>
                <c:pt idx="9">
                  <c:v>1947</c:v>
                </c:pt>
                <c:pt idx="10">
                  <c:v>1948</c:v>
                </c:pt>
                <c:pt idx="11">
                  <c:v>1949</c:v>
                </c:pt>
                <c:pt idx="12">
                  <c:v>1950</c:v>
                </c:pt>
                <c:pt idx="13">
                  <c:v>1951</c:v>
                </c:pt>
                <c:pt idx="14">
                  <c:v>1952</c:v>
                </c:pt>
                <c:pt idx="15">
                  <c:v>1953</c:v>
                </c:pt>
                <c:pt idx="16">
                  <c:v>1954</c:v>
                </c:pt>
                <c:pt idx="17">
                  <c:v>1955</c:v>
                </c:pt>
                <c:pt idx="18">
                  <c:v>1956</c:v>
                </c:pt>
                <c:pt idx="19">
                  <c:v>1957</c:v>
                </c:pt>
                <c:pt idx="20">
                  <c:v>1958</c:v>
                </c:pt>
                <c:pt idx="21">
                  <c:v>1959</c:v>
                </c:pt>
                <c:pt idx="22">
                  <c:v>1960</c:v>
                </c:pt>
                <c:pt idx="23">
                  <c:v>1961</c:v>
                </c:pt>
                <c:pt idx="24">
                  <c:v>1962</c:v>
                </c:pt>
                <c:pt idx="25">
                  <c:v>1963</c:v>
                </c:pt>
                <c:pt idx="26">
                  <c:v>1964</c:v>
                </c:pt>
                <c:pt idx="27">
                  <c:v>1965</c:v>
                </c:pt>
                <c:pt idx="28">
                  <c:v>1966</c:v>
                </c:pt>
                <c:pt idx="29">
                  <c:v>1967</c:v>
                </c:pt>
                <c:pt idx="30">
                  <c:v>1968</c:v>
                </c:pt>
                <c:pt idx="31">
                  <c:v>1969</c:v>
                </c:pt>
                <c:pt idx="32">
                  <c:v>1970</c:v>
                </c:pt>
                <c:pt idx="33">
                  <c:v>1971</c:v>
                </c:pt>
                <c:pt idx="34">
                  <c:v>1972</c:v>
                </c:pt>
                <c:pt idx="35">
                  <c:v>1973</c:v>
                </c:pt>
                <c:pt idx="36">
                  <c:v>1974</c:v>
                </c:pt>
                <c:pt idx="37">
                  <c:v>1975</c:v>
                </c:pt>
                <c:pt idx="38">
                  <c:v>1976</c:v>
                </c:pt>
                <c:pt idx="39">
                  <c:v>1977</c:v>
                </c:pt>
                <c:pt idx="40">
                  <c:v>1978</c:v>
                </c:pt>
                <c:pt idx="41">
                  <c:v>1979</c:v>
                </c:pt>
                <c:pt idx="42">
                  <c:v>1980</c:v>
                </c:pt>
                <c:pt idx="43">
                  <c:v>1981</c:v>
                </c:pt>
                <c:pt idx="44">
                  <c:v>1982</c:v>
                </c:pt>
                <c:pt idx="45">
                  <c:v>1983</c:v>
                </c:pt>
                <c:pt idx="46">
                  <c:v>1984</c:v>
                </c:pt>
                <c:pt idx="47">
                  <c:v>1985</c:v>
                </c:pt>
                <c:pt idx="48">
                  <c:v>1986</c:v>
                </c:pt>
                <c:pt idx="49">
                  <c:v>1987</c:v>
                </c:pt>
                <c:pt idx="50">
                  <c:v>1988</c:v>
                </c:pt>
                <c:pt idx="51">
                  <c:v>1989</c:v>
                </c:pt>
                <c:pt idx="52">
                  <c:v>1990</c:v>
                </c:pt>
                <c:pt idx="53">
                  <c:v>1991</c:v>
                </c:pt>
                <c:pt idx="54">
                  <c:v>1992</c:v>
                </c:pt>
                <c:pt idx="55">
                  <c:v>1993</c:v>
                </c:pt>
                <c:pt idx="56">
                  <c:v>1994</c:v>
                </c:pt>
                <c:pt idx="57">
                  <c:v>1995</c:v>
                </c:pt>
                <c:pt idx="58">
                  <c:v>1996</c:v>
                </c:pt>
                <c:pt idx="59">
                  <c:v>1997</c:v>
                </c:pt>
                <c:pt idx="60">
                  <c:v>1998</c:v>
                </c:pt>
                <c:pt idx="61">
                  <c:v>1999</c:v>
                </c:pt>
                <c:pt idx="62">
                  <c:v>2000</c:v>
                </c:pt>
                <c:pt idx="63">
                  <c:v>2001</c:v>
                </c:pt>
                <c:pt idx="64">
                  <c:v>2002</c:v>
                </c:pt>
                <c:pt idx="65">
                  <c:v>2003</c:v>
                </c:pt>
                <c:pt idx="66">
                  <c:v>2004</c:v>
                </c:pt>
                <c:pt idx="67">
                  <c:v>2005</c:v>
                </c:pt>
                <c:pt idx="68">
                  <c:v>2006</c:v>
                </c:pt>
                <c:pt idx="69">
                  <c:v>2007</c:v>
                </c:pt>
              </c:strCache>
            </c:strRef>
          </c:cat>
          <c:val>
            <c:numRef>
              <c:f>'\usuario\Dropbox\Investigación\Consumo\Datos\Datos sobre lácteos\Datos en bruto\Faostat\[Datos de consumo de lácteos en países individuales.xlsx]StatisticalData (3)'!$B$121:$BS$121</c:f>
              <c:numCache>
                <c:formatCode>General</c:formatCode>
                <c:ptCount val="70"/>
                <c:pt idx="0">
                  <c:v>146.73000000000002</c:v>
                </c:pt>
                <c:pt idx="23">
                  <c:v>228.065461605157</c:v>
                </c:pt>
                <c:pt idx="24">
                  <c:v>233.47262517547964</c:v>
                </c:pt>
                <c:pt idx="25">
                  <c:v>234.80526746217612</c:v>
                </c:pt>
                <c:pt idx="26">
                  <c:v>237.99032674912314</c:v>
                </c:pt>
                <c:pt idx="27">
                  <c:v>233.14747963900507</c:v>
                </c:pt>
                <c:pt idx="28">
                  <c:v>226.75152277783857</c:v>
                </c:pt>
                <c:pt idx="29">
                  <c:v>226.36036934910385</c:v>
                </c:pt>
                <c:pt idx="30">
                  <c:v>228.11183331527823</c:v>
                </c:pt>
                <c:pt idx="31">
                  <c:v>229.60547654578471</c:v>
                </c:pt>
                <c:pt idx="32">
                  <c:v>231.64543288608638</c:v>
                </c:pt>
                <c:pt idx="33">
                  <c:v>221.37450000000001</c:v>
                </c:pt>
                <c:pt idx="34">
                  <c:v>225.20236165779116</c:v>
                </c:pt>
                <c:pt idx="35">
                  <c:v>226.3524571225451</c:v>
                </c:pt>
                <c:pt idx="36">
                  <c:v>227.19822201717653</c:v>
                </c:pt>
                <c:pt idx="37">
                  <c:v>235.94424061962744</c:v>
                </c:pt>
                <c:pt idx="38">
                  <c:v>230.87311820339343</c:v>
                </c:pt>
                <c:pt idx="39">
                  <c:v>223.65324622439405</c:v>
                </c:pt>
                <c:pt idx="40">
                  <c:v>221.76865063909642</c:v>
                </c:pt>
                <c:pt idx="41">
                  <c:v>227.1497990759263</c:v>
                </c:pt>
                <c:pt idx="42">
                  <c:v>222.48486618521665</c:v>
                </c:pt>
                <c:pt idx="43">
                  <c:v>226.91991081540203</c:v>
                </c:pt>
                <c:pt idx="44">
                  <c:v>231.11390972123957</c:v>
                </c:pt>
                <c:pt idx="45">
                  <c:v>229.39102076889085</c:v>
                </c:pt>
                <c:pt idx="46">
                  <c:v>236.59919128423357</c:v>
                </c:pt>
                <c:pt idx="47">
                  <c:v>234.24499691439655</c:v>
                </c:pt>
                <c:pt idx="48">
                  <c:v>233.53938476699986</c:v>
                </c:pt>
                <c:pt idx="49">
                  <c:v>230.04145232368279</c:v>
                </c:pt>
                <c:pt idx="50">
                  <c:v>228.28193454621862</c:v>
                </c:pt>
                <c:pt idx="51">
                  <c:v>236.98664175455752</c:v>
                </c:pt>
                <c:pt idx="52">
                  <c:v>232.28975185023944</c:v>
                </c:pt>
                <c:pt idx="53">
                  <c:v>227.11693296283431</c:v>
                </c:pt>
                <c:pt idx="54">
                  <c:v>222.37667578896318</c:v>
                </c:pt>
                <c:pt idx="55">
                  <c:v>217.59152861510822</c:v>
                </c:pt>
                <c:pt idx="56">
                  <c:v>215.51252411797134</c:v>
                </c:pt>
                <c:pt idx="57">
                  <c:v>216.01125178224794</c:v>
                </c:pt>
                <c:pt idx="58">
                  <c:v>235.94938855205015</c:v>
                </c:pt>
                <c:pt idx="59">
                  <c:v>237.18855650035857</c:v>
                </c:pt>
                <c:pt idx="60">
                  <c:v>231.2697256450405</c:v>
                </c:pt>
                <c:pt idx="61">
                  <c:v>230.67004189351923</c:v>
                </c:pt>
                <c:pt idx="62">
                  <c:v>221.61547560707709</c:v>
                </c:pt>
                <c:pt idx="63">
                  <c:v>227.962936156604</c:v>
                </c:pt>
                <c:pt idx="64">
                  <c:v>232.97013124151457</c:v>
                </c:pt>
                <c:pt idx="65">
                  <c:v>242.7298136127751</c:v>
                </c:pt>
                <c:pt idx="66">
                  <c:v>236.1950611953435</c:v>
                </c:pt>
                <c:pt idx="67">
                  <c:v>248.70850543568054</c:v>
                </c:pt>
                <c:pt idx="68">
                  <c:v>240.17391590121105</c:v>
                </c:pt>
                <c:pt idx="69">
                  <c:v>241.15688869283929</c:v>
                </c:pt>
              </c:numCache>
            </c:numRef>
          </c:val>
          <c:smooth val="0"/>
          <c:extLst>
            <c:ext xmlns:c16="http://schemas.microsoft.com/office/drawing/2014/chart" uri="{C3380CC4-5D6E-409C-BE32-E72D297353CC}">
              <c16:uniqueId val="{00000005-705E-4BD3-8181-87D39ADAA1E2}"/>
            </c:ext>
          </c:extLst>
        </c:ser>
        <c:dLbls>
          <c:showLegendKey val="0"/>
          <c:showVal val="0"/>
          <c:showCatName val="0"/>
          <c:showSerName val="0"/>
          <c:showPercent val="0"/>
          <c:showBubbleSize val="0"/>
        </c:dLbls>
        <c:marker val="1"/>
        <c:smooth val="0"/>
        <c:axId val="112360064"/>
        <c:axId val="112362240"/>
      </c:lineChart>
      <c:catAx>
        <c:axId val="112360064"/>
        <c:scaling>
          <c:orientation val="minMax"/>
        </c:scaling>
        <c:delete val="0"/>
        <c:axPos val="b"/>
        <c:numFmt formatCode="General" sourceLinked="0"/>
        <c:majorTickMark val="out"/>
        <c:minorTickMark val="none"/>
        <c:tickLblPos val="nextTo"/>
        <c:crossAx val="112362240"/>
        <c:crosses val="autoZero"/>
        <c:auto val="1"/>
        <c:lblAlgn val="ctr"/>
        <c:lblOffset val="100"/>
        <c:noMultiLvlLbl val="0"/>
      </c:catAx>
      <c:valAx>
        <c:axId val="112362240"/>
        <c:scaling>
          <c:orientation val="minMax"/>
        </c:scaling>
        <c:delete val="0"/>
        <c:axPos val="l"/>
        <c:numFmt formatCode="General" sourceLinked="1"/>
        <c:majorTickMark val="out"/>
        <c:minorTickMark val="none"/>
        <c:tickLblPos val="nextTo"/>
        <c:crossAx val="112360064"/>
        <c:crosses val="autoZero"/>
        <c:crossBetween val="between"/>
      </c:valAx>
    </c:plotArea>
    <c:legend>
      <c:legendPos val="r"/>
      <c:layout>
        <c:manualLayout>
          <c:xMode val="edge"/>
          <c:yMode val="edge"/>
          <c:x val="0.60062379702537183"/>
          <c:y val="0.53016034195556605"/>
          <c:w val="0.32437620297462816"/>
          <c:h val="0.28413963470046888"/>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59527284352154"/>
          <c:y val="3.7612203908222994E-2"/>
          <c:w val="0.78606220290217665"/>
          <c:h val="0.7888345853320059"/>
        </c:manualLayout>
      </c:layout>
      <c:scatterChart>
        <c:scatterStyle val="lineMarker"/>
        <c:varyColors val="0"/>
        <c:ser>
          <c:idx val="0"/>
          <c:order val="0"/>
          <c:tx>
            <c:v>1964</c:v>
          </c:tx>
          <c:spPr>
            <a:ln w="28575">
              <a:noFill/>
            </a:ln>
          </c:spPr>
          <c:marker>
            <c:symbol val="circle"/>
            <c:size val="4"/>
            <c:spPr>
              <a:noFill/>
              <a:ln>
                <a:solidFill>
                  <a:schemeClr val="bg1">
                    <a:lumMod val="50000"/>
                  </a:schemeClr>
                </a:solidFill>
              </a:ln>
            </c:spPr>
          </c:marker>
          <c:xVal>
            <c:numRef>
              <c:f>'\usuario\Dropbox\Investigación\Consumo\Datos\Datos sobre lácteos\[Gasto en productos lácteos según EPFs - desagregado.xlsx]Provincias'!$B$5:$AY$5</c:f>
              <c:numCache>
                <c:formatCode>General</c:formatCode>
                <c:ptCount val="50"/>
                <c:pt idx="0">
                  <c:v>146.46599999999998</c:v>
                </c:pt>
                <c:pt idx="1">
                  <c:v>25.234999999999999</c:v>
                </c:pt>
                <c:pt idx="2">
                  <c:v>33.166000000000004</c:v>
                </c:pt>
                <c:pt idx="3">
                  <c:v>58.401000000000003</c:v>
                </c:pt>
                <c:pt idx="4">
                  <c:v>107.944</c:v>
                </c:pt>
                <c:pt idx="5">
                  <c:v>64.683999999999997</c:v>
                </c:pt>
                <c:pt idx="6">
                  <c:v>73.13</c:v>
                </c:pt>
                <c:pt idx="7">
                  <c:v>69.525000000000006</c:v>
                </c:pt>
                <c:pt idx="8">
                  <c:v>99.188999999999993</c:v>
                </c:pt>
                <c:pt idx="9">
                  <c:v>80.649000000000001</c:v>
                </c:pt>
                <c:pt idx="10">
                  <c:v>31.414999999999999</c:v>
                </c:pt>
                <c:pt idx="11">
                  <c:v>23.896000000000001</c:v>
                </c:pt>
                <c:pt idx="12">
                  <c:v>54.899000000000001</c:v>
                </c:pt>
                <c:pt idx="13">
                  <c:v>79.31</c:v>
                </c:pt>
                <c:pt idx="14">
                  <c:v>108.974</c:v>
                </c:pt>
                <c:pt idx="15">
                  <c:v>15.038</c:v>
                </c:pt>
                <c:pt idx="16">
                  <c:v>101.146</c:v>
                </c:pt>
                <c:pt idx="17">
                  <c:v>59.74</c:v>
                </c:pt>
                <c:pt idx="18">
                  <c:v>69.937000000000012</c:v>
                </c:pt>
                <c:pt idx="19">
                  <c:v>149.041</c:v>
                </c:pt>
                <c:pt idx="20">
                  <c:v>47.586000000000006</c:v>
                </c:pt>
                <c:pt idx="21">
                  <c:v>66.95</c:v>
                </c:pt>
                <c:pt idx="22">
                  <c:v>53.56</c:v>
                </c:pt>
                <c:pt idx="23">
                  <c:v>78.588999999999999</c:v>
                </c:pt>
                <c:pt idx="24">
                  <c:v>56.753</c:v>
                </c:pt>
                <c:pt idx="25">
                  <c:v>96.305000000000007</c:v>
                </c:pt>
                <c:pt idx="26">
                  <c:v>134.518</c:v>
                </c:pt>
                <c:pt idx="27">
                  <c:v>114.021</c:v>
                </c:pt>
                <c:pt idx="28">
                  <c:v>52.221000000000004</c:v>
                </c:pt>
                <c:pt idx="29">
                  <c:v>33.372</c:v>
                </c:pt>
                <c:pt idx="30">
                  <c:v>127.926</c:v>
                </c:pt>
                <c:pt idx="31">
                  <c:v>83.43</c:v>
                </c:pt>
                <c:pt idx="32">
                  <c:v>178.49900000000002</c:v>
                </c:pt>
                <c:pt idx="33">
                  <c:v>75.292999999999992</c:v>
                </c:pt>
                <c:pt idx="34">
                  <c:v>76.013999999999996</c:v>
                </c:pt>
                <c:pt idx="35">
                  <c:v>106.50200000000001</c:v>
                </c:pt>
                <c:pt idx="36">
                  <c:v>110.313</c:v>
                </c:pt>
                <c:pt idx="37">
                  <c:v>108.56200000000001</c:v>
                </c:pt>
                <c:pt idx="38">
                  <c:v>207.44200000000001</c:v>
                </c:pt>
                <c:pt idx="39">
                  <c:v>88.373999999999995</c:v>
                </c:pt>
                <c:pt idx="40">
                  <c:v>56.134999999999998</c:v>
                </c:pt>
                <c:pt idx="41">
                  <c:v>75.911000000000001</c:v>
                </c:pt>
                <c:pt idx="42">
                  <c:v>39.552</c:v>
                </c:pt>
                <c:pt idx="43">
                  <c:v>28.84</c:v>
                </c:pt>
                <c:pt idx="44">
                  <c:v>88.477000000000004</c:v>
                </c:pt>
                <c:pt idx="45">
                  <c:v>24.102</c:v>
                </c:pt>
                <c:pt idx="46">
                  <c:v>94.039000000000001</c:v>
                </c:pt>
                <c:pt idx="47">
                  <c:v>158.82599999999999</c:v>
                </c:pt>
                <c:pt idx="48">
                  <c:v>54.899000000000001</c:v>
                </c:pt>
                <c:pt idx="49">
                  <c:v>73.644999999999996</c:v>
                </c:pt>
              </c:numCache>
            </c:numRef>
          </c:xVal>
          <c:yVal>
            <c:numRef>
              <c:f>'\usuario\Dropbox\Investigación\Consumo\Datos\Datos sobre lácteos\[Gasto en productos lácteos según EPFs - desagregado.xlsx]Provincias'!$B$76:$AY$76</c:f>
              <c:numCache>
                <c:formatCode>General</c:formatCode>
                <c:ptCount val="50"/>
                <c:pt idx="0">
                  <c:v>2.5463656685376459</c:v>
                </c:pt>
                <c:pt idx="1">
                  <c:v>6.4274769493748725</c:v>
                </c:pt>
                <c:pt idx="2">
                  <c:v>6.1542275237106132</c:v>
                </c:pt>
                <c:pt idx="3">
                  <c:v>4.6563894691367169</c:v>
                </c:pt>
                <c:pt idx="4">
                  <c:v>4.4718583536868017</c:v>
                </c:pt>
                <c:pt idx="5">
                  <c:v>3.5237895809187232</c:v>
                </c:pt>
                <c:pt idx="6">
                  <c:v>3.2208095329500748</c:v>
                </c:pt>
                <c:pt idx="7">
                  <c:v>4.2915390354614456</c:v>
                </c:pt>
                <c:pt idx="8">
                  <c:v>3.33753700100511</c:v>
                </c:pt>
                <c:pt idx="9">
                  <c:v>4.7422643986712121</c:v>
                </c:pt>
                <c:pt idx="10">
                  <c:v>9.171886762085153</c:v>
                </c:pt>
                <c:pt idx="11">
                  <c:v>7.8855680057388842</c:v>
                </c:pt>
                <c:pt idx="12">
                  <c:v>4.3105508174182194</c:v>
                </c:pt>
                <c:pt idx="13">
                  <c:v>3.9933495868891189</c:v>
                </c:pt>
                <c:pt idx="14">
                  <c:v>3.9475210542083405</c:v>
                </c:pt>
                <c:pt idx="15">
                  <c:v>6.6332659760526331</c:v>
                </c:pt>
                <c:pt idx="16">
                  <c:v>2.1449258881953406</c:v>
                </c:pt>
                <c:pt idx="17">
                  <c:v>5.3296749921348319</c:v>
                </c:pt>
                <c:pt idx="18">
                  <c:v>3.1509939504223543</c:v>
                </c:pt>
                <c:pt idx="19">
                  <c:v>2.8101025247510312</c:v>
                </c:pt>
                <c:pt idx="20">
                  <c:v>4.4860397776914924</c:v>
                </c:pt>
                <c:pt idx="21">
                  <c:v>2.557869028989701</c:v>
                </c:pt>
                <c:pt idx="22">
                  <c:v>4.6705749543913067</c:v>
                </c:pt>
                <c:pt idx="23">
                  <c:v>3.4750015999750574</c:v>
                </c:pt>
                <c:pt idx="24">
                  <c:v>3.2292719053460126</c:v>
                </c:pt>
                <c:pt idx="25">
                  <c:v>2.4774274866411878</c:v>
                </c:pt>
                <c:pt idx="26">
                  <c:v>2.9697060972385052</c:v>
                </c:pt>
                <c:pt idx="27">
                  <c:v>3.351835793126043</c:v>
                </c:pt>
                <c:pt idx="28">
                  <c:v>6.2626370811120387</c:v>
                </c:pt>
                <c:pt idx="29">
                  <c:v>6.7966143458381998</c:v>
                </c:pt>
                <c:pt idx="30">
                  <c:v>2.8091745546406961</c:v>
                </c:pt>
                <c:pt idx="31">
                  <c:v>2.4627029578942037</c:v>
                </c:pt>
                <c:pt idx="32">
                  <c:v>2.5139091576268853</c:v>
                </c:pt>
                <c:pt idx="33">
                  <c:v>4.0568793892514501</c:v>
                </c:pt>
                <c:pt idx="34">
                  <c:v>3.3923208128073146</c:v>
                </c:pt>
                <c:pt idx="35">
                  <c:v>3.3532105509155952</c:v>
                </c:pt>
                <c:pt idx="36">
                  <c:v>3.6854334489605001</c:v>
                </c:pt>
                <c:pt idx="37">
                  <c:v>1.0188192005344847</c:v>
                </c:pt>
                <c:pt idx="38">
                  <c:v>2.6004901963633733</c:v>
                </c:pt>
                <c:pt idx="39">
                  <c:v>4.1201545647249667</c:v>
                </c:pt>
                <c:pt idx="40">
                  <c:v>5.1776993386172228</c:v>
                </c:pt>
                <c:pt idx="41">
                  <c:v>3.2082707976330251</c:v>
                </c:pt>
                <c:pt idx="42">
                  <c:v>4.9343159251551718</c:v>
                </c:pt>
                <c:pt idx="43">
                  <c:v>4.351508832079733</c:v>
                </c:pt>
                <c:pt idx="44">
                  <c:v>4.0252178908496932</c:v>
                </c:pt>
                <c:pt idx="45">
                  <c:v>10.07604152841264</c:v>
                </c:pt>
                <c:pt idx="46">
                  <c:v>3.0214021656698495</c:v>
                </c:pt>
                <c:pt idx="47">
                  <c:v>2.8458426996014636</c:v>
                </c:pt>
                <c:pt idx="48">
                  <c:v>4.8817552823257611</c:v>
                </c:pt>
                <c:pt idx="49">
                  <c:v>3.38640303954447</c:v>
                </c:pt>
              </c:numCache>
            </c:numRef>
          </c:yVal>
          <c:smooth val="0"/>
          <c:extLst>
            <c:ext xmlns:c16="http://schemas.microsoft.com/office/drawing/2014/chart" uri="{C3380CC4-5D6E-409C-BE32-E72D297353CC}">
              <c16:uniqueId val="{00000000-BC6F-4502-A14F-A3177D6673A2}"/>
            </c:ext>
          </c:extLst>
        </c:ser>
        <c:ser>
          <c:idx val="1"/>
          <c:order val="1"/>
          <c:tx>
            <c:v>1980</c:v>
          </c:tx>
          <c:spPr>
            <a:ln w="28575">
              <a:noFill/>
            </a:ln>
          </c:spPr>
          <c:marker>
            <c:symbol val="square"/>
            <c:size val="4"/>
            <c:spPr>
              <a:solidFill>
                <a:schemeClr val="bg1">
                  <a:lumMod val="50000"/>
                </a:schemeClr>
              </a:solidFill>
              <a:ln>
                <a:solidFill>
                  <a:schemeClr val="bg1">
                    <a:lumMod val="50000"/>
                  </a:schemeClr>
                </a:solidFill>
              </a:ln>
            </c:spPr>
          </c:marker>
          <c:xVal>
            <c:numRef>
              <c:f>'\usuario\Dropbox\Investigación\Consumo\Datos\Datos sobre lácteos\[Gasto en productos lácteos según EPFs - desagregado.xlsx]Provincias'!$BC$5:$CZ$5</c:f>
              <c:numCache>
                <c:formatCode>General</c:formatCode>
                <c:ptCount val="50"/>
                <c:pt idx="0">
                  <c:v>169.30110000000002</c:v>
                </c:pt>
                <c:pt idx="1">
                  <c:v>93.750599999999991</c:v>
                </c:pt>
                <c:pt idx="2">
                  <c:v>81.091900000000024</c:v>
                </c:pt>
                <c:pt idx="3">
                  <c:v>104.4832</c:v>
                </c:pt>
                <c:pt idx="4">
                  <c:v>191.98169999999999</c:v>
                </c:pt>
                <c:pt idx="5">
                  <c:v>138.1848</c:v>
                </c:pt>
                <c:pt idx="6">
                  <c:v>97.438000000000002</c:v>
                </c:pt>
                <c:pt idx="7">
                  <c:v>107.67620000000001</c:v>
                </c:pt>
                <c:pt idx="8">
                  <c:v>140.99669999999998</c:v>
                </c:pt>
                <c:pt idx="9">
                  <c:v>162.45160000000001</c:v>
                </c:pt>
                <c:pt idx="10">
                  <c:v>97.180499999999995</c:v>
                </c:pt>
                <c:pt idx="11">
                  <c:v>84.58359999999999</c:v>
                </c:pt>
                <c:pt idx="12">
                  <c:v>138.34960000000001</c:v>
                </c:pt>
                <c:pt idx="13">
                  <c:v>151.32759999999999</c:v>
                </c:pt>
                <c:pt idx="14">
                  <c:v>162.20440000000002</c:v>
                </c:pt>
                <c:pt idx="15">
                  <c:v>85.757799999999989</c:v>
                </c:pt>
                <c:pt idx="16">
                  <c:v>114.79349999999999</c:v>
                </c:pt>
                <c:pt idx="17">
                  <c:v>127.12260000000002</c:v>
                </c:pt>
                <c:pt idx="18">
                  <c:v>127.85390000000001</c:v>
                </c:pt>
                <c:pt idx="19">
                  <c:v>144.91069999999996</c:v>
                </c:pt>
                <c:pt idx="20">
                  <c:v>147.23850000000002</c:v>
                </c:pt>
                <c:pt idx="21">
                  <c:v>104.26689999999999</c:v>
                </c:pt>
                <c:pt idx="22">
                  <c:v>132.19019999999998</c:v>
                </c:pt>
                <c:pt idx="23">
                  <c:v>154.53089999999997</c:v>
                </c:pt>
                <c:pt idx="24">
                  <c:v>104.58619999999999</c:v>
                </c:pt>
                <c:pt idx="25">
                  <c:v>145.17850000000001</c:v>
                </c:pt>
                <c:pt idx="26">
                  <c:v>178.59170000000003</c:v>
                </c:pt>
                <c:pt idx="27">
                  <c:v>148.40240000000003</c:v>
                </c:pt>
                <c:pt idx="28">
                  <c:v>122.1065</c:v>
                </c:pt>
                <c:pt idx="29">
                  <c:v>107.25390000000002</c:v>
                </c:pt>
                <c:pt idx="30">
                  <c:v>166.29349999999999</c:v>
                </c:pt>
                <c:pt idx="31">
                  <c:v>139.51350000000002</c:v>
                </c:pt>
                <c:pt idx="32">
                  <c:v>190.25129999999999</c:v>
                </c:pt>
                <c:pt idx="33">
                  <c:v>167.02480000000003</c:v>
                </c:pt>
                <c:pt idx="34">
                  <c:v>60.883299999999998</c:v>
                </c:pt>
                <c:pt idx="35">
                  <c:v>153.42880000000002</c:v>
                </c:pt>
                <c:pt idx="36">
                  <c:v>194.36100000000002</c:v>
                </c:pt>
                <c:pt idx="37">
                  <c:v>33.711900000000007</c:v>
                </c:pt>
                <c:pt idx="38">
                  <c:v>209.16210000000001</c:v>
                </c:pt>
                <c:pt idx="39">
                  <c:v>166.23169999999999</c:v>
                </c:pt>
                <c:pt idx="40">
                  <c:v>119.69630000000001</c:v>
                </c:pt>
                <c:pt idx="41">
                  <c:v>137.9067</c:v>
                </c:pt>
                <c:pt idx="42">
                  <c:v>94.574600000000004</c:v>
                </c:pt>
                <c:pt idx="43">
                  <c:v>88.353400000000008</c:v>
                </c:pt>
                <c:pt idx="44">
                  <c:v>134.76519999999999</c:v>
                </c:pt>
                <c:pt idx="45">
                  <c:v>89.414300000000011</c:v>
                </c:pt>
                <c:pt idx="46">
                  <c:v>171.22720000000001</c:v>
                </c:pt>
                <c:pt idx="47">
                  <c:v>184.22580000000002</c:v>
                </c:pt>
                <c:pt idx="48">
                  <c:v>158.9084</c:v>
                </c:pt>
                <c:pt idx="49">
                  <c:v>128.59550000000002</c:v>
                </c:pt>
              </c:numCache>
            </c:numRef>
          </c:xVal>
          <c:yVal>
            <c:numRef>
              <c:f>'\usuario\Dropbox\Investigación\Consumo\Datos\Datos sobre lácteos\[Gasto en productos lácteos según EPFs - desagregado.xlsx]Provincias'!$BC$76:$CZ$76</c:f>
              <c:numCache>
                <c:formatCode>General</c:formatCode>
                <c:ptCount val="50"/>
                <c:pt idx="0">
                  <c:v>1.4968794848757425</c:v>
                </c:pt>
                <c:pt idx="1">
                  <c:v>2.5928822957178692</c:v>
                </c:pt>
                <c:pt idx="2">
                  <c:v>2.0955046246964706</c:v>
                </c:pt>
                <c:pt idx="3">
                  <c:v>2.9886977384193156</c:v>
                </c:pt>
                <c:pt idx="4">
                  <c:v>1.8149974744616812</c:v>
                </c:pt>
                <c:pt idx="5">
                  <c:v>2.5562804944979485</c:v>
                </c:pt>
                <c:pt idx="6">
                  <c:v>1.6762592574163946</c:v>
                </c:pt>
                <c:pt idx="7">
                  <c:v>1.6691269748933486</c:v>
                </c:pt>
                <c:pt idx="8">
                  <c:v>1.5501122850798805</c:v>
                </c:pt>
                <c:pt idx="9">
                  <c:v>2.2879940037067126</c:v>
                </c:pt>
                <c:pt idx="10">
                  <c:v>2.6921358953115524</c:v>
                </c:pt>
                <c:pt idx="11">
                  <c:v>1.9601938534371748</c:v>
                </c:pt>
                <c:pt idx="12">
                  <c:v>2.5601862810171085</c:v>
                </c:pt>
                <c:pt idx="13">
                  <c:v>2.2178788859425946</c:v>
                </c:pt>
                <c:pt idx="14">
                  <c:v>1.7568086217910381</c:v>
                </c:pt>
                <c:pt idx="15">
                  <c:v>2.2006303561352976</c:v>
                </c:pt>
                <c:pt idx="16">
                  <c:v>1.7533210982404888</c:v>
                </c:pt>
                <c:pt idx="17">
                  <c:v>2.6724912431185586</c:v>
                </c:pt>
                <c:pt idx="18">
                  <c:v>2.1881305019332102</c:v>
                </c:pt>
                <c:pt idx="19">
                  <c:v>1.6693269482827306</c:v>
                </c:pt>
                <c:pt idx="20">
                  <c:v>2.0680215960351149</c:v>
                </c:pt>
                <c:pt idx="21">
                  <c:v>1.5940354153085112</c:v>
                </c:pt>
                <c:pt idx="22">
                  <c:v>2.588722898991501</c:v>
                </c:pt>
                <c:pt idx="23">
                  <c:v>1.7002907115977346</c:v>
                </c:pt>
                <c:pt idx="24">
                  <c:v>1.7234572175919105</c:v>
                </c:pt>
                <c:pt idx="25">
                  <c:v>1.8050066483681249</c:v>
                </c:pt>
                <c:pt idx="26">
                  <c:v>1.940533482161148</c:v>
                </c:pt>
                <c:pt idx="27">
                  <c:v>1.5865695725342721</c:v>
                </c:pt>
                <c:pt idx="28">
                  <c:v>2.192224311646183</c:v>
                </c:pt>
                <c:pt idx="29">
                  <c:v>2.2931130432987858</c:v>
                </c:pt>
                <c:pt idx="30">
                  <c:v>1.5384933831011687</c:v>
                </c:pt>
                <c:pt idx="31">
                  <c:v>1.8828404853866467</c:v>
                </c:pt>
                <c:pt idx="32">
                  <c:v>1.5297754230273424</c:v>
                </c:pt>
                <c:pt idx="33">
                  <c:v>1.4547752253146093</c:v>
                </c:pt>
                <c:pt idx="34">
                  <c:v>2.2246261735069504</c:v>
                </c:pt>
                <c:pt idx="35">
                  <c:v>1.6680937079257958</c:v>
                </c:pt>
                <c:pt idx="36">
                  <c:v>1.8640830186376078</c:v>
                </c:pt>
                <c:pt idx="37">
                  <c:v>1.9611227603015933</c:v>
                </c:pt>
                <c:pt idx="38">
                  <c:v>1.2995302112072242</c:v>
                </c:pt>
                <c:pt idx="39">
                  <c:v>1.714164379270275</c:v>
                </c:pt>
                <c:pt idx="40">
                  <c:v>2.2419465105675824</c:v>
                </c:pt>
                <c:pt idx="41">
                  <c:v>2.0010115353979829</c:v>
                </c:pt>
                <c:pt idx="42">
                  <c:v>1.9357065467617183</c:v>
                </c:pt>
                <c:pt idx="43">
                  <c:v>2.1036300703187671</c:v>
                </c:pt>
                <c:pt idx="44">
                  <c:v>2.3898030298159654</c:v>
                </c:pt>
                <c:pt idx="45">
                  <c:v>2.0129531760590496</c:v>
                </c:pt>
                <c:pt idx="46">
                  <c:v>1.5878514433911983</c:v>
                </c:pt>
                <c:pt idx="47">
                  <c:v>1.5342367876928655</c:v>
                </c:pt>
                <c:pt idx="48">
                  <c:v>1.8512533221199112</c:v>
                </c:pt>
                <c:pt idx="49">
                  <c:v>1.7484416321971918</c:v>
                </c:pt>
              </c:numCache>
            </c:numRef>
          </c:yVal>
          <c:smooth val="0"/>
          <c:extLst>
            <c:ext xmlns:c16="http://schemas.microsoft.com/office/drawing/2014/chart" uri="{C3380CC4-5D6E-409C-BE32-E72D297353CC}">
              <c16:uniqueId val="{00000001-BC6F-4502-A14F-A3177D6673A2}"/>
            </c:ext>
          </c:extLst>
        </c:ser>
        <c:ser>
          <c:idx val="2"/>
          <c:order val="2"/>
          <c:tx>
            <c:v>1990</c:v>
          </c:tx>
          <c:spPr>
            <a:ln w="28575">
              <a:noFill/>
            </a:ln>
          </c:spPr>
          <c:marker>
            <c:symbol val="circle"/>
            <c:size val="4"/>
            <c:spPr>
              <a:solidFill>
                <a:schemeClr val="tx1"/>
              </a:solidFill>
              <a:ln>
                <a:solidFill>
                  <a:schemeClr val="tx1"/>
                </a:solidFill>
              </a:ln>
            </c:spPr>
          </c:marker>
          <c:xVal>
            <c:numRef>
              <c:f>'\usuario\Dropbox\Investigación\Consumo\Datos\Datos sobre lácteos\[Gasto en productos lácteos según EPFs - desagregado.xlsx]Provincias'!$DC$5:$EZ$5</c:f>
              <c:numCache>
                <c:formatCode>General</c:formatCode>
                <c:ptCount val="50"/>
                <c:pt idx="0">
                  <c:v>143.93220000000002</c:v>
                </c:pt>
                <c:pt idx="1">
                  <c:v>109.59200000000001</c:v>
                </c:pt>
                <c:pt idx="2">
                  <c:v>91.711200000000005</c:v>
                </c:pt>
                <c:pt idx="3">
                  <c:v>121.9314</c:v>
                </c:pt>
                <c:pt idx="4">
                  <c:v>174.30689999999998</c:v>
                </c:pt>
                <c:pt idx="5">
                  <c:v>135.28020000000001</c:v>
                </c:pt>
                <c:pt idx="6">
                  <c:v>84.542400000000015</c:v>
                </c:pt>
                <c:pt idx="7">
                  <c:v>104.38019999999999</c:v>
                </c:pt>
                <c:pt idx="8">
                  <c:v>141.77950000000001</c:v>
                </c:pt>
                <c:pt idx="9">
                  <c:v>180.6105</c:v>
                </c:pt>
                <c:pt idx="10">
                  <c:v>92.7</c:v>
                </c:pt>
                <c:pt idx="11">
                  <c:v>93.616699999999994</c:v>
                </c:pt>
                <c:pt idx="12">
                  <c:v>142.17090000000002</c:v>
                </c:pt>
                <c:pt idx="13">
                  <c:v>140.20359999999999</c:v>
                </c:pt>
                <c:pt idx="14">
                  <c:v>144.81800000000001</c:v>
                </c:pt>
                <c:pt idx="15">
                  <c:v>108.9534</c:v>
                </c:pt>
                <c:pt idx="16">
                  <c:v>93.699100000000001</c:v>
                </c:pt>
                <c:pt idx="17">
                  <c:v>143.19059999999999</c:v>
                </c:pt>
                <c:pt idx="18">
                  <c:v>139.81220000000002</c:v>
                </c:pt>
                <c:pt idx="19">
                  <c:v>140.33750000000001</c:v>
                </c:pt>
                <c:pt idx="20">
                  <c:v>115.89560000000002</c:v>
                </c:pt>
                <c:pt idx="21">
                  <c:v>101.56830000000001</c:v>
                </c:pt>
                <c:pt idx="22">
                  <c:v>141.41900000000001</c:v>
                </c:pt>
                <c:pt idx="23">
                  <c:v>148.6908</c:v>
                </c:pt>
                <c:pt idx="24">
                  <c:v>103.24719999999999</c:v>
                </c:pt>
                <c:pt idx="25">
                  <c:v>135.11540000000002</c:v>
                </c:pt>
                <c:pt idx="26">
                  <c:v>164.81029999999998</c:v>
                </c:pt>
                <c:pt idx="27">
                  <c:v>119.50060000000002</c:v>
                </c:pt>
                <c:pt idx="28">
                  <c:v>105.3793</c:v>
                </c:pt>
                <c:pt idx="29">
                  <c:v>112.65110000000003</c:v>
                </c:pt>
                <c:pt idx="30">
                  <c:v>148.30969999999999</c:v>
                </c:pt>
                <c:pt idx="31">
                  <c:v>145.94069999999999</c:v>
                </c:pt>
                <c:pt idx="32">
                  <c:v>168.46680000000001</c:v>
                </c:pt>
                <c:pt idx="33">
                  <c:v>144.92099999999999</c:v>
                </c:pt>
                <c:pt idx="34">
                  <c:v>94.512799999999999</c:v>
                </c:pt>
                <c:pt idx="35">
                  <c:v>162.53399999999999</c:v>
                </c:pt>
                <c:pt idx="36">
                  <c:v>185.22490000000002</c:v>
                </c:pt>
                <c:pt idx="37">
                  <c:v>48.42029999999999</c:v>
                </c:pt>
                <c:pt idx="38">
                  <c:v>169.23930000000001</c:v>
                </c:pt>
                <c:pt idx="39">
                  <c:v>151.46150000000003</c:v>
                </c:pt>
                <c:pt idx="40">
                  <c:v>108.53110000000001</c:v>
                </c:pt>
                <c:pt idx="41">
                  <c:v>152.92410000000001</c:v>
                </c:pt>
                <c:pt idx="42">
                  <c:v>92.566099999999992</c:v>
                </c:pt>
                <c:pt idx="43">
                  <c:v>113.1558</c:v>
                </c:pt>
                <c:pt idx="44">
                  <c:v>130.4186</c:v>
                </c:pt>
                <c:pt idx="45">
                  <c:v>94.595199999999991</c:v>
                </c:pt>
                <c:pt idx="46">
                  <c:v>145.15790000000001</c:v>
                </c:pt>
                <c:pt idx="47">
                  <c:v>140.05939999999998</c:v>
                </c:pt>
                <c:pt idx="48">
                  <c:v>156.5703</c:v>
                </c:pt>
                <c:pt idx="49">
                  <c:v>123.41460000000001</c:v>
                </c:pt>
              </c:numCache>
            </c:numRef>
          </c:xVal>
          <c:yVal>
            <c:numRef>
              <c:f>'\usuario\Dropbox\Investigación\Consumo\Datos\Datos sobre lácteos\[Gasto en productos lácteos según EPFs - desagregado.xlsx]Provincias'!$DC$76:$EZ$76</c:f>
              <c:numCache>
                <c:formatCode>General</c:formatCode>
                <c:ptCount val="50"/>
                <c:pt idx="0">
                  <c:v>1.0274460438851696</c:v>
                </c:pt>
                <c:pt idx="1">
                  <c:v>1.5198783573044972</c:v>
                </c:pt>
                <c:pt idx="2">
                  <c:v>1.4204208429328788</c:v>
                </c:pt>
                <c:pt idx="3">
                  <c:v>1.7794067153962541</c:v>
                </c:pt>
                <c:pt idx="4">
                  <c:v>1.4343729030943209</c:v>
                </c:pt>
                <c:pt idx="5">
                  <c:v>1.72255579115275</c:v>
                </c:pt>
                <c:pt idx="6">
                  <c:v>1.2100365809744797</c:v>
                </c:pt>
                <c:pt idx="7">
                  <c:v>1.1553835034938105</c:v>
                </c:pt>
                <c:pt idx="8">
                  <c:v>1.0833795557913837</c:v>
                </c:pt>
                <c:pt idx="9">
                  <c:v>1.5552153367307691</c:v>
                </c:pt>
                <c:pt idx="10">
                  <c:v>1.9386326471656734</c:v>
                </c:pt>
                <c:pt idx="11">
                  <c:v>1.4231984412911665</c:v>
                </c:pt>
                <c:pt idx="12">
                  <c:v>1.5479235181908835</c:v>
                </c:pt>
                <c:pt idx="13">
                  <c:v>1.648486414294698</c:v>
                </c:pt>
                <c:pt idx="14">
                  <c:v>1.2677064290771454</c:v>
                </c:pt>
                <c:pt idx="15">
                  <c:v>1.293240264555608</c:v>
                </c:pt>
                <c:pt idx="16">
                  <c:v>1.2366193540243244</c:v>
                </c:pt>
                <c:pt idx="17">
                  <c:v>1.6710245550284712</c:v>
                </c:pt>
                <c:pt idx="18">
                  <c:v>1.212377474858668</c:v>
                </c:pt>
                <c:pt idx="19">
                  <c:v>1.1591012068767643</c:v>
                </c:pt>
                <c:pt idx="20">
                  <c:v>1.7219451824068592</c:v>
                </c:pt>
                <c:pt idx="21">
                  <c:v>1.2979123230486371</c:v>
                </c:pt>
                <c:pt idx="22">
                  <c:v>1.8171985695613102</c:v>
                </c:pt>
                <c:pt idx="23">
                  <c:v>1.0995206664521942</c:v>
                </c:pt>
                <c:pt idx="24">
                  <c:v>1.193485857142039</c:v>
                </c:pt>
                <c:pt idx="25">
                  <c:v>1.0324232039773258</c:v>
                </c:pt>
                <c:pt idx="26">
                  <c:v>1.2012195210764955</c:v>
                </c:pt>
                <c:pt idx="27">
                  <c:v>1.0656445173094458</c:v>
                </c:pt>
                <c:pt idx="28">
                  <c:v>1.6335139181241138</c:v>
                </c:pt>
                <c:pt idx="29">
                  <c:v>1.6620453754655971</c:v>
                </c:pt>
                <c:pt idx="30">
                  <c:v>1.1566354070957159</c:v>
                </c:pt>
                <c:pt idx="31">
                  <c:v>1.3170866424015375</c:v>
                </c:pt>
                <c:pt idx="32">
                  <c:v>1.195362502470265</c:v>
                </c:pt>
                <c:pt idx="33">
                  <c:v>1.0912288532549992</c:v>
                </c:pt>
                <c:pt idx="34">
                  <c:v>1.3965044868298899</c:v>
                </c:pt>
                <c:pt idx="35">
                  <c:v>1.289728020527898</c:v>
                </c:pt>
                <c:pt idx="36">
                  <c:v>1.4180422259937779</c:v>
                </c:pt>
                <c:pt idx="37">
                  <c:v>1.725977088330271</c:v>
                </c:pt>
                <c:pt idx="38">
                  <c:v>1.1009796867244825</c:v>
                </c:pt>
                <c:pt idx="39">
                  <c:v>1.2165535036973514</c:v>
                </c:pt>
                <c:pt idx="40">
                  <c:v>1.5860321791754759</c:v>
                </c:pt>
                <c:pt idx="41">
                  <c:v>1.8469119343729756</c:v>
                </c:pt>
                <c:pt idx="42">
                  <c:v>1.2877638300608305</c:v>
                </c:pt>
                <c:pt idx="43">
                  <c:v>1.3221069970372821</c:v>
                </c:pt>
                <c:pt idx="44">
                  <c:v>1.6445332454493229</c:v>
                </c:pt>
                <c:pt idx="45">
                  <c:v>1.3374255486351589</c:v>
                </c:pt>
                <c:pt idx="46">
                  <c:v>1.0916030994891039</c:v>
                </c:pt>
                <c:pt idx="47">
                  <c:v>1.0370798706609787</c:v>
                </c:pt>
                <c:pt idx="48">
                  <c:v>1.6056104390008661</c:v>
                </c:pt>
                <c:pt idx="49">
                  <c:v>1.2540644136322503</c:v>
                </c:pt>
              </c:numCache>
            </c:numRef>
          </c:yVal>
          <c:smooth val="0"/>
          <c:extLst>
            <c:ext xmlns:c16="http://schemas.microsoft.com/office/drawing/2014/chart" uri="{C3380CC4-5D6E-409C-BE32-E72D297353CC}">
              <c16:uniqueId val="{00000002-BC6F-4502-A14F-A3177D6673A2}"/>
            </c:ext>
          </c:extLst>
        </c:ser>
        <c:dLbls>
          <c:showLegendKey val="0"/>
          <c:showVal val="0"/>
          <c:showCatName val="0"/>
          <c:showSerName val="0"/>
          <c:showPercent val="0"/>
          <c:showBubbleSize val="0"/>
        </c:dLbls>
        <c:axId val="115640960"/>
        <c:axId val="116978816"/>
      </c:scatterChart>
      <c:valAx>
        <c:axId val="115640960"/>
        <c:scaling>
          <c:orientation val="minMax"/>
        </c:scaling>
        <c:delete val="0"/>
        <c:axPos val="b"/>
        <c:title>
          <c:tx>
            <c:rich>
              <a:bodyPr/>
              <a:lstStyle/>
              <a:p>
                <a:pPr>
                  <a:defRPr b="0" i="0"/>
                </a:pPr>
                <a:r>
                  <a:rPr lang="en-US" b="0" i="0"/>
                  <a:t>Milk consumption (kg. per person and year)</a:t>
                </a:r>
              </a:p>
            </c:rich>
          </c:tx>
          <c:layout>
            <c:manualLayout>
              <c:xMode val="edge"/>
              <c:yMode val="edge"/>
              <c:x val="0.2801699799154922"/>
              <c:y val="0.91729628624008208"/>
            </c:manualLayout>
          </c:layout>
          <c:overlay val="0"/>
        </c:title>
        <c:numFmt formatCode="0" sourceLinked="0"/>
        <c:majorTickMark val="out"/>
        <c:minorTickMark val="none"/>
        <c:tickLblPos val="nextTo"/>
        <c:crossAx val="116978816"/>
        <c:crosses val="autoZero"/>
        <c:crossBetween val="midCat"/>
      </c:valAx>
      <c:valAx>
        <c:axId val="116978816"/>
        <c:scaling>
          <c:orientation val="minMax"/>
        </c:scaling>
        <c:delete val="0"/>
        <c:axPos val="l"/>
        <c:title>
          <c:tx>
            <c:rich>
              <a:bodyPr rot="-5400000" vert="horz"/>
              <a:lstStyle/>
              <a:p>
                <a:pPr>
                  <a:defRPr b="0" i="0"/>
                </a:pPr>
                <a:r>
                  <a:rPr lang="en-US" b="0" i="0"/>
                  <a:t>Share of household income required to buy 100 kg of milk per person and year</a:t>
                </a:r>
              </a:p>
            </c:rich>
          </c:tx>
          <c:overlay val="0"/>
        </c:title>
        <c:numFmt formatCode="0" sourceLinked="0"/>
        <c:majorTickMark val="out"/>
        <c:minorTickMark val="none"/>
        <c:tickLblPos val="nextTo"/>
        <c:crossAx val="115640960"/>
        <c:crosses val="autoZero"/>
        <c:crossBetween val="midCat"/>
      </c:valAx>
    </c:plotArea>
    <c:legend>
      <c:legendPos val="b"/>
      <c:layout>
        <c:manualLayout>
          <c:xMode val="edge"/>
          <c:yMode val="edge"/>
          <c:x val="0.57135031474422648"/>
          <c:y val="0.30354059190876997"/>
          <c:w val="0.32069190781975371"/>
          <c:h val="5.8344147627227248E-2"/>
        </c:manualLayout>
      </c:layout>
      <c:overlay val="0"/>
    </c:legend>
    <c:plotVisOnly val="1"/>
    <c:dispBlanksAs val="gap"/>
    <c:showDLblsOverMax val="0"/>
  </c:chart>
  <c:spPr>
    <a:solidFill>
      <a:schemeClr val="bg1"/>
    </a:solidFill>
    <a:ln>
      <a:noFill/>
    </a:ln>
  </c:spPr>
  <c:txPr>
    <a:bodyPr/>
    <a:lstStyle/>
    <a:p>
      <a:pPr>
        <a:defRPr>
          <a:latin typeface="Arial" panose="020B0604020202020204" pitchFamily="34" charset="0"/>
          <a:cs typeface="Arial" panose="020B0604020202020204" pitchFamily="34" charset="0"/>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1"/>
          <c:spPr>
            <a:ln w="6350">
              <a:solidFill>
                <a:schemeClr val="tx1"/>
              </a:solidFill>
              <a:prstDash val="sysDot"/>
              <a:tailEnd type="stealth"/>
            </a:ln>
          </c:spPr>
          <c:xVal>
            <c:numRef>
              <c:f>'\usuario\Dropbox\Investigación\Consumo\Datos\Datos sobre lácteos\[Gasto en productos lácteos según EPFs - desagregado.xlsx]Gráfico'!$C$4:$C$9</c:f>
              <c:numCache>
                <c:formatCode>General</c:formatCode>
                <c:ptCount val="6"/>
                <c:pt idx="0">
                  <c:v>31.9</c:v>
                </c:pt>
                <c:pt idx="1">
                  <c:v>80.2</c:v>
                </c:pt>
                <c:pt idx="2">
                  <c:v>81.099999999999994</c:v>
                </c:pt>
                <c:pt idx="3">
                  <c:v>119.4</c:v>
                </c:pt>
                <c:pt idx="4">
                  <c:v>128.9</c:v>
                </c:pt>
                <c:pt idx="5">
                  <c:v>121.1</c:v>
                </c:pt>
              </c:numCache>
            </c:numRef>
          </c:xVal>
          <c:yVal>
            <c:numRef>
              <c:f>'\usuario\Dropbox\Investigación\Consumo\Datos\Datos sobre lácteos\[Gasto en productos lácteos según EPFs - desagregado.xlsx]Gráfico'!$D$4:$D$9</c:f>
              <c:numCache>
                <c:formatCode>General</c:formatCode>
                <c:ptCount val="6"/>
                <c:pt idx="0">
                  <c:v>2.31</c:v>
                </c:pt>
                <c:pt idx="1">
                  <c:v>0.05</c:v>
                </c:pt>
                <c:pt idx="2">
                  <c:v>0.82</c:v>
                </c:pt>
                <c:pt idx="3">
                  <c:v>0.21</c:v>
                </c:pt>
                <c:pt idx="4">
                  <c:v>-0.2</c:v>
                </c:pt>
                <c:pt idx="5">
                  <c:v>-0.32</c:v>
                </c:pt>
              </c:numCache>
            </c:numRef>
          </c:yVal>
          <c:smooth val="0"/>
          <c:extLst>
            <c:ext xmlns:c16="http://schemas.microsoft.com/office/drawing/2014/chart" uri="{C3380CC4-5D6E-409C-BE32-E72D297353CC}">
              <c16:uniqueId val="{00000000-16E8-4B39-898E-3147A9A7CDF3}"/>
            </c:ext>
          </c:extLst>
        </c:ser>
        <c:ser>
          <c:idx val="0"/>
          <c:order val="0"/>
          <c:spPr>
            <a:ln w="6350">
              <a:solidFill>
                <a:schemeClr val="tx1"/>
              </a:solidFill>
              <a:prstDash val="sysDot"/>
              <a:tailEnd type="stealth"/>
            </a:ln>
          </c:spPr>
          <c:marker>
            <c:symbol val="circle"/>
            <c:size val="7"/>
            <c:spPr>
              <a:solidFill>
                <a:schemeClr val="tx1"/>
              </a:solidFill>
              <a:ln>
                <a:solidFill>
                  <a:schemeClr val="tx1"/>
                </a:solidFill>
              </a:ln>
            </c:spPr>
          </c:marker>
          <c:dLbls>
            <c:dLbl>
              <c:idx val="0"/>
              <c:tx>
                <c:rich>
                  <a:bodyPr/>
                  <a:lstStyle/>
                  <a:p>
                    <a:r>
                      <a:rPr lang="en-US"/>
                      <a:t>1917-1933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6E8-4B39-898E-3147A9A7CDF3}"/>
                </c:ext>
              </c:extLst>
            </c:dLbl>
            <c:dLbl>
              <c:idx val="1"/>
              <c:layout>
                <c:manualLayout>
                  <c:x val="-8.8888888888888892E-2"/>
                  <c:y val="6.5339448402575898E-2"/>
                </c:manualLayout>
              </c:layout>
              <c:tx>
                <c:rich>
                  <a:bodyPr/>
                  <a:lstStyle/>
                  <a:p>
                    <a:r>
                      <a:rPr lang="en-US"/>
                      <a:t>1958-1964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6E8-4B39-898E-3147A9A7CDF3}"/>
                </c:ext>
              </c:extLst>
            </c:dLbl>
            <c:dLbl>
              <c:idx val="2"/>
              <c:tx>
                <c:rich>
                  <a:bodyPr/>
                  <a:lstStyle/>
                  <a:p>
                    <a:r>
                      <a:rPr lang="en-US"/>
                      <a:t>1964-1980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6E8-4B39-898E-3147A9A7CDF3}"/>
                </c:ext>
              </c:extLst>
            </c:dLbl>
            <c:dLbl>
              <c:idx val="3"/>
              <c:tx>
                <c:rich>
                  <a:bodyPr/>
                  <a:lstStyle/>
                  <a:p>
                    <a:r>
                      <a:rPr lang="en-US"/>
                      <a:t>1973-1980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6E8-4B39-898E-3147A9A7CDF3}"/>
                </c:ext>
              </c:extLst>
            </c:dLbl>
            <c:dLbl>
              <c:idx val="4"/>
              <c:layout>
                <c:manualLayout>
                  <c:x val="0"/>
                  <c:y val="4.900458630193192E-2"/>
                </c:manualLayout>
              </c:layout>
              <c:tx>
                <c:rich>
                  <a:bodyPr/>
                  <a:lstStyle/>
                  <a:p>
                    <a:r>
                      <a:rPr lang="en-US"/>
                      <a:t>1980-1990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6E8-4B39-898E-3147A9A7CDF3}"/>
                </c:ext>
              </c:extLst>
            </c:dLbl>
            <c:dLbl>
              <c:idx val="5"/>
              <c:layout>
                <c:manualLayout>
                  <c:x val="-0.18888888888888888"/>
                  <c:y val="8.0477108856695928E-3"/>
                </c:manualLayout>
              </c:layout>
              <c:tx>
                <c:rich>
                  <a:bodyPr/>
                  <a:lstStyle/>
                  <a:p>
                    <a:r>
                      <a:rPr lang="en-US"/>
                      <a:t>1990-2000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6E8-4B39-898E-3147A9A7CDF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'\usuario\Dropbox\Investigación\Consumo\Datos\Datos sobre lácteos\[Gasto en productos lácteos según EPFs - desagregado.xlsx]Gráfico'!$C$4:$C$9</c:f>
              <c:numCache>
                <c:formatCode>General</c:formatCode>
                <c:ptCount val="6"/>
                <c:pt idx="0">
                  <c:v>31.9</c:v>
                </c:pt>
                <c:pt idx="1">
                  <c:v>80.2</c:v>
                </c:pt>
                <c:pt idx="2">
                  <c:v>81.099999999999994</c:v>
                </c:pt>
                <c:pt idx="3">
                  <c:v>119.4</c:v>
                </c:pt>
                <c:pt idx="4">
                  <c:v>128.9</c:v>
                </c:pt>
                <c:pt idx="5">
                  <c:v>121.1</c:v>
                </c:pt>
              </c:numCache>
            </c:numRef>
          </c:xVal>
          <c:yVal>
            <c:numRef>
              <c:f>'\usuario\Dropbox\Investigación\Consumo\Datos\Datos sobre lácteos\[Gasto en productos lácteos según EPFs - desagregado.xlsx]Gráfico'!$D$4:$D$9</c:f>
              <c:numCache>
                <c:formatCode>General</c:formatCode>
                <c:ptCount val="6"/>
                <c:pt idx="0">
                  <c:v>2.31</c:v>
                </c:pt>
                <c:pt idx="1">
                  <c:v>0.05</c:v>
                </c:pt>
                <c:pt idx="2">
                  <c:v>0.82</c:v>
                </c:pt>
                <c:pt idx="3">
                  <c:v>0.21</c:v>
                </c:pt>
                <c:pt idx="4">
                  <c:v>-0.2</c:v>
                </c:pt>
                <c:pt idx="5">
                  <c:v>-0.32</c:v>
                </c:pt>
              </c:numCache>
            </c:numRef>
          </c:yVal>
          <c:smooth val="0"/>
          <c:extLst>
            <c:ext xmlns:c16="http://schemas.microsoft.com/office/drawing/2014/chart" uri="{C3380CC4-5D6E-409C-BE32-E72D297353CC}">
              <c16:uniqueId val="{00000007-16E8-4B39-898E-3147A9A7CDF3}"/>
            </c:ext>
          </c:extLst>
        </c:ser>
        <c:dLbls>
          <c:showLegendKey val="0"/>
          <c:showVal val="0"/>
          <c:showCatName val="0"/>
          <c:showSerName val="0"/>
          <c:showPercent val="0"/>
          <c:showBubbleSize val="0"/>
        </c:dLbls>
        <c:axId val="133218304"/>
        <c:axId val="178226688"/>
      </c:scatterChart>
      <c:valAx>
        <c:axId val="133218304"/>
        <c:scaling>
          <c:orientation val="minMax"/>
          <c:min val="20"/>
        </c:scaling>
        <c:delete val="0"/>
        <c:axPos val="b"/>
        <c:title>
          <c:tx>
            <c:rich>
              <a:bodyPr/>
              <a:lstStyle/>
              <a:p>
                <a:pPr>
                  <a:defRPr/>
                </a:pPr>
                <a:r>
                  <a:rPr lang="es-ES" b="0"/>
                  <a:t>Milk consumption at the start of the period </a:t>
                </a:r>
              </a:p>
              <a:p>
                <a:pPr>
                  <a:defRPr/>
                </a:pPr>
                <a:r>
                  <a:rPr lang="es-ES" b="0"/>
                  <a:t>(kg. per person and year)</a:t>
                </a:r>
              </a:p>
            </c:rich>
          </c:tx>
          <c:layout>
            <c:manualLayout>
              <c:xMode val="edge"/>
              <c:yMode val="edge"/>
              <c:x val="0.28035520559930011"/>
              <c:y val="0.87035098345500339"/>
            </c:manualLayout>
          </c:layout>
          <c:overlay val="0"/>
        </c:title>
        <c:numFmt formatCode="General" sourceLinked="1"/>
        <c:majorTickMark val="out"/>
        <c:minorTickMark val="none"/>
        <c:tickLblPos val="low"/>
        <c:crossAx val="178226688"/>
        <c:crosses val="autoZero"/>
        <c:crossBetween val="midCat"/>
      </c:valAx>
      <c:valAx>
        <c:axId val="178226688"/>
        <c:scaling>
          <c:orientation val="minMax"/>
        </c:scaling>
        <c:delete val="0"/>
        <c:axPos val="l"/>
        <c:title>
          <c:tx>
            <c:rich>
              <a:bodyPr rot="-5400000" vert="horz"/>
              <a:lstStyle/>
              <a:p>
                <a:pPr>
                  <a:defRPr b="0"/>
                </a:pPr>
                <a:r>
                  <a:rPr lang="en-US" b="0"/>
                  <a:t>Responsiveness factor</a:t>
                </a:r>
              </a:p>
            </c:rich>
          </c:tx>
          <c:overlay val="0"/>
        </c:title>
        <c:numFmt formatCode="General" sourceLinked="1"/>
        <c:majorTickMark val="out"/>
        <c:minorTickMark val="none"/>
        <c:tickLblPos val="nextTo"/>
        <c:crossAx val="133218304"/>
        <c:crosses val="autoZero"/>
        <c:crossBetween val="midCat"/>
      </c:valAx>
    </c:plotArea>
    <c:plotVisOnly val="1"/>
    <c:dispBlanksAs val="gap"/>
    <c:showDLblsOverMax val="0"/>
  </c:chart>
  <c:spPr>
    <a:solidFill>
      <a:schemeClr val="bg1"/>
    </a:solidFill>
    <a:ln>
      <a:noFill/>
    </a:ln>
  </c:spPr>
  <c:txPr>
    <a:bodyPr/>
    <a:lstStyle/>
    <a:p>
      <a:pPr>
        <a:defRPr>
          <a:latin typeface="Arial" panose="020B0604020202020204" pitchFamily="34" charset="0"/>
          <a:cs typeface="Arial" panose="020B0604020202020204" pitchFamily="34" charset="0"/>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76618547681539"/>
          <c:y val="4.4066106098692305E-2"/>
          <c:w val="0.77057414698162729"/>
          <c:h val="0.73275215701539032"/>
        </c:manualLayout>
      </c:layout>
      <c:scatterChart>
        <c:scatterStyle val="lineMarker"/>
        <c:varyColors val="0"/>
        <c:ser>
          <c:idx val="0"/>
          <c:order val="0"/>
          <c:tx>
            <c:v>Provinces</c:v>
          </c:tx>
          <c:spPr>
            <a:ln w="28575">
              <a:noFill/>
            </a:ln>
          </c:spPr>
          <c:marker>
            <c:symbol val="diamond"/>
            <c:size val="5"/>
            <c:spPr>
              <a:solidFill>
                <a:schemeClr val="bg1">
                  <a:lumMod val="50000"/>
                </a:schemeClr>
              </a:solidFill>
              <a:ln>
                <a:solidFill>
                  <a:schemeClr val="bg1">
                    <a:lumMod val="50000"/>
                  </a:schemeClr>
                </a:solidFill>
              </a:ln>
            </c:spPr>
          </c:marker>
          <c:xVal>
            <c:numRef>
              <c:f>'\usuario\Dropbox\Investigación\Consumo\Datos\Datos sobre lácteos\[Gasto en productos lácteos según EPFs - desagregado.xlsx]Gráfico'!$C$26:$C$125</c:f>
              <c:numCache>
                <c:formatCode>General</c:formatCode>
                <c:ptCount val="100"/>
                <c:pt idx="0">
                  <c:v>146.46599999999998</c:v>
                </c:pt>
                <c:pt idx="1">
                  <c:v>25.234999999999999</c:v>
                </c:pt>
                <c:pt idx="2">
                  <c:v>33.166000000000004</c:v>
                </c:pt>
                <c:pt idx="3">
                  <c:v>58.401000000000003</c:v>
                </c:pt>
                <c:pt idx="4">
                  <c:v>107.944</c:v>
                </c:pt>
                <c:pt idx="5">
                  <c:v>64.683999999999997</c:v>
                </c:pt>
                <c:pt idx="6">
                  <c:v>73.13</c:v>
                </c:pt>
                <c:pt idx="7">
                  <c:v>69.525000000000006</c:v>
                </c:pt>
                <c:pt idx="8">
                  <c:v>99.188999999999993</c:v>
                </c:pt>
                <c:pt idx="9">
                  <c:v>80.649000000000001</c:v>
                </c:pt>
                <c:pt idx="10">
                  <c:v>31.414999999999999</c:v>
                </c:pt>
                <c:pt idx="11">
                  <c:v>23.896000000000001</c:v>
                </c:pt>
                <c:pt idx="12">
                  <c:v>54.899000000000001</c:v>
                </c:pt>
                <c:pt idx="13">
                  <c:v>79.31</c:v>
                </c:pt>
                <c:pt idx="14">
                  <c:v>108.974</c:v>
                </c:pt>
                <c:pt idx="15">
                  <c:v>15.038</c:v>
                </c:pt>
                <c:pt idx="16">
                  <c:v>101.146</c:v>
                </c:pt>
                <c:pt idx="17">
                  <c:v>59.74</c:v>
                </c:pt>
                <c:pt idx="18">
                  <c:v>69.937000000000012</c:v>
                </c:pt>
                <c:pt idx="19">
                  <c:v>149.041</c:v>
                </c:pt>
                <c:pt idx="20">
                  <c:v>47.586000000000006</c:v>
                </c:pt>
                <c:pt idx="21">
                  <c:v>66.95</c:v>
                </c:pt>
                <c:pt idx="22">
                  <c:v>53.56</c:v>
                </c:pt>
                <c:pt idx="23">
                  <c:v>78.588999999999999</c:v>
                </c:pt>
                <c:pt idx="24">
                  <c:v>56.753</c:v>
                </c:pt>
                <c:pt idx="25">
                  <c:v>96.305000000000007</c:v>
                </c:pt>
                <c:pt idx="26">
                  <c:v>134.518</c:v>
                </c:pt>
                <c:pt idx="27">
                  <c:v>114.021</c:v>
                </c:pt>
                <c:pt idx="28">
                  <c:v>52.221000000000004</c:v>
                </c:pt>
                <c:pt idx="29">
                  <c:v>33.372</c:v>
                </c:pt>
                <c:pt idx="30">
                  <c:v>127.926</c:v>
                </c:pt>
                <c:pt idx="31">
                  <c:v>83.43</c:v>
                </c:pt>
                <c:pt idx="32">
                  <c:v>178.49900000000002</c:v>
                </c:pt>
                <c:pt idx="33">
                  <c:v>75.292999999999992</c:v>
                </c:pt>
                <c:pt idx="34">
                  <c:v>76.013999999999996</c:v>
                </c:pt>
                <c:pt idx="35">
                  <c:v>106.50200000000001</c:v>
                </c:pt>
                <c:pt idx="36">
                  <c:v>110.313</c:v>
                </c:pt>
                <c:pt idx="37">
                  <c:v>108.56200000000001</c:v>
                </c:pt>
                <c:pt idx="38">
                  <c:v>207.44200000000001</c:v>
                </c:pt>
                <c:pt idx="39">
                  <c:v>88.373999999999995</c:v>
                </c:pt>
                <c:pt idx="40">
                  <c:v>56.134999999999998</c:v>
                </c:pt>
                <c:pt idx="41">
                  <c:v>75.911000000000001</c:v>
                </c:pt>
                <c:pt idx="42">
                  <c:v>39.552</c:v>
                </c:pt>
                <c:pt idx="43">
                  <c:v>28.84</c:v>
                </c:pt>
                <c:pt idx="44">
                  <c:v>88.477000000000004</c:v>
                </c:pt>
                <c:pt idx="45">
                  <c:v>24.102</c:v>
                </c:pt>
                <c:pt idx="46">
                  <c:v>94.039000000000001</c:v>
                </c:pt>
                <c:pt idx="47">
                  <c:v>158.82599999999999</c:v>
                </c:pt>
                <c:pt idx="48">
                  <c:v>54.899000000000001</c:v>
                </c:pt>
                <c:pt idx="49">
                  <c:v>73.644999999999996</c:v>
                </c:pt>
                <c:pt idx="50">
                  <c:v>169.30110000000002</c:v>
                </c:pt>
                <c:pt idx="51">
                  <c:v>93.750599999999991</c:v>
                </c:pt>
                <c:pt idx="52">
                  <c:v>81.091900000000024</c:v>
                </c:pt>
                <c:pt idx="53">
                  <c:v>104.4832</c:v>
                </c:pt>
                <c:pt idx="54">
                  <c:v>191.98169999999999</c:v>
                </c:pt>
                <c:pt idx="55">
                  <c:v>138.1848</c:v>
                </c:pt>
                <c:pt idx="56">
                  <c:v>97.438000000000002</c:v>
                </c:pt>
                <c:pt idx="57">
                  <c:v>107.67620000000001</c:v>
                </c:pt>
                <c:pt idx="58">
                  <c:v>140.99669999999998</c:v>
                </c:pt>
                <c:pt idx="59">
                  <c:v>162.45160000000001</c:v>
                </c:pt>
                <c:pt idx="60">
                  <c:v>97.180499999999995</c:v>
                </c:pt>
                <c:pt idx="61">
                  <c:v>84.58359999999999</c:v>
                </c:pt>
                <c:pt idx="62">
                  <c:v>138.34960000000001</c:v>
                </c:pt>
                <c:pt idx="63">
                  <c:v>151.32759999999999</c:v>
                </c:pt>
                <c:pt idx="64">
                  <c:v>162.20440000000002</c:v>
                </c:pt>
                <c:pt idx="65">
                  <c:v>85.757799999999989</c:v>
                </c:pt>
                <c:pt idx="66">
                  <c:v>114.79349999999999</c:v>
                </c:pt>
                <c:pt idx="67">
                  <c:v>127.12260000000002</c:v>
                </c:pt>
                <c:pt idx="68">
                  <c:v>127.85390000000001</c:v>
                </c:pt>
                <c:pt idx="69">
                  <c:v>144.91069999999996</c:v>
                </c:pt>
                <c:pt idx="70">
                  <c:v>147.23850000000002</c:v>
                </c:pt>
                <c:pt idx="71">
                  <c:v>104.26689999999999</c:v>
                </c:pt>
                <c:pt idx="72">
                  <c:v>132.19019999999998</c:v>
                </c:pt>
                <c:pt idx="73">
                  <c:v>154.53089999999997</c:v>
                </c:pt>
                <c:pt idx="74">
                  <c:v>104.58619999999999</c:v>
                </c:pt>
                <c:pt idx="75">
                  <c:v>145.17850000000001</c:v>
                </c:pt>
                <c:pt idx="76">
                  <c:v>178.59170000000003</c:v>
                </c:pt>
                <c:pt idx="77">
                  <c:v>148.40240000000003</c:v>
                </c:pt>
                <c:pt idx="78">
                  <c:v>122.1065</c:v>
                </c:pt>
                <c:pt idx="79">
                  <c:v>107.25390000000002</c:v>
                </c:pt>
                <c:pt idx="80">
                  <c:v>166.29349999999999</c:v>
                </c:pt>
                <c:pt idx="81">
                  <c:v>139.51350000000002</c:v>
                </c:pt>
                <c:pt idx="82">
                  <c:v>190.25129999999999</c:v>
                </c:pt>
                <c:pt idx="83">
                  <c:v>167.02480000000003</c:v>
                </c:pt>
                <c:pt idx="84">
                  <c:v>60.883299999999998</c:v>
                </c:pt>
                <c:pt idx="85">
                  <c:v>153.42880000000002</c:v>
                </c:pt>
                <c:pt idx="86">
                  <c:v>194.36100000000002</c:v>
                </c:pt>
                <c:pt idx="87">
                  <c:v>33.711900000000007</c:v>
                </c:pt>
                <c:pt idx="88">
                  <c:v>209.16210000000001</c:v>
                </c:pt>
                <c:pt idx="89">
                  <c:v>166.23169999999999</c:v>
                </c:pt>
                <c:pt idx="90">
                  <c:v>119.69630000000001</c:v>
                </c:pt>
                <c:pt idx="91">
                  <c:v>137.9067</c:v>
                </c:pt>
                <c:pt idx="92">
                  <c:v>94.574600000000004</c:v>
                </c:pt>
                <c:pt idx="93">
                  <c:v>88.353400000000008</c:v>
                </c:pt>
                <c:pt idx="94">
                  <c:v>134.76519999999999</c:v>
                </c:pt>
                <c:pt idx="95">
                  <c:v>89.414300000000011</c:v>
                </c:pt>
                <c:pt idx="96">
                  <c:v>171.22720000000001</c:v>
                </c:pt>
                <c:pt idx="97">
                  <c:v>184.22580000000002</c:v>
                </c:pt>
                <c:pt idx="98">
                  <c:v>158.9084</c:v>
                </c:pt>
                <c:pt idx="99">
                  <c:v>128.59550000000002</c:v>
                </c:pt>
              </c:numCache>
            </c:numRef>
          </c:xVal>
          <c:yVal>
            <c:numRef>
              <c:f>'\usuario\Dropbox\Investigación\Consumo\Datos\Datos sobre lácteos\[Gasto en productos lácteos según EPFs - desagregado.xlsx]Gráfico'!$D$26:$D$125</c:f>
              <c:numCache>
                <c:formatCode>General</c:formatCode>
                <c:ptCount val="100"/>
                <c:pt idx="0">
                  <c:v>0.2994551414399208</c:v>
                </c:pt>
                <c:pt idx="1">
                  <c:v>1.549694474880035</c:v>
                </c:pt>
                <c:pt idx="2">
                  <c:v>0.89807319377911754</c:v>
                </c:pt>
                <c:pt idx="3">
                  <c:v>1.321938931032475</c:v>
                </c:pt>
                <c:pt idx="4">
                  <c:v>0.66054524965502392</c:v>
                </c:pt>
                <c:pt idx="5">
                  <c:v>2.5453801982567059</c:v>
                </c:pt>
                <c:pt idx="6">
                  <c:v>0.43104828738397805</c:v>
                </c:pt>
                <c:pt idx="7">
                  <c:v>0.52481113289827142</c:v>
                </c:pt>
                <c:pt idx="8">
                  <c:v>0.50516459820694248</c:v>
                </c:pt>
                <c:pt idx="9">
                  <c:v>1.1368058841308475</c:v>
                </c:pt>
                <c:pt idx="10">
                  <c:v>0.94826987106960936</c:v>
                </c:pt>
                <c:pt idx="11">
                  <c:v>0.96921784909435049</c:v>
                </c:pt>
                <c:pt idx="12">
                  <c:v>1.9967244936808481</c:v>
                </c:pt>
                <c:pt idx="13">
                  <c:v>1.1251720588024117</c:v>
                </c:pt>
                <c:pt idx="14">
                  <c:v>0.50654788783643856</c:v>
                </c:pt>
                <c:pt idx="15">
                  <c:v>1.7539441107177776</c:v>
                </c:pt>
                <c:pt idx="16">
                  <c:v>0.80121136949414462</c:v>
                </c:pt>
                <c:pt idx="17">
                  <c:v>1.1736704578986425</c:v>
                </c:pt>
                <c:pt idx="18">
                  <c:v>2.1209745867235998</c:v>
                </c:pt>
                <c:pt idx="19">
                  <c:v>-5.9159882889754316E-2</c:v>
                </c:pt>
                <c:pt idx="20">
                  <c:v>1.5515397658488341</c:v>
                </c:pt>
                <c:pt idx="21">
                  <c:v>1.2119533014551196</c:v>
                </c:pt>
                <c:pt idx="22">
                  <c:v>1.7800050866633454</c:v>
                </c:pt>
                <c:pt idx="23">
                  <c:v>1.1015552128414079</c:v>
                </c:pt>
                <c:pt idx="24">
                  <c:v>1.1419577995481554</c:v>
                </c:pt>
                <c:pt idx="25">
                  <c:v>1.4312159887526192</c:v>
                </c:pt>
                <c:pt idx="26">
                  <c:v>0.76436947304349157</c:v>
                </c:pt>
                <c:pt idx="27">
                  <c:v>0.36231455854004679</c:v>
                </c:pt>
                <c:pt idx="28">
                  <c:v>0.84965335685375976</c:v>
                </c:pt>
                <c:pt idx="29">
                  <c:v>1.0989467658995467</c:v>
                </c:pt>
                <c:pt idx="30">
                  <c:v>0.46708056551123328</c:v>
                </c:pt>
                <c:pt idx="31">
                  <c:v>2.346548696519053</c:v>
                </c:pt>
                <c:pt idx="32">
                  <c:v>0.14237921013806343</c:v>
                </c:pt>
                <c:pt idx="33">
                  <c:v>0.79224669129663927</c:v>
                </c:pt>
                <c:pt idx="34">
                  <c:v>-0.56349877610246357</c:v>
                </c:pt>
                <c:pt idx="35">
                  <c:v>0.48016893731951127</c:v>
                </c:pt>
                <c:pt idx="36">
                  <c:v>0.94206662742834035</c:v>
                </c:pt>
                <c:pt idx="37">
                  <c:v>1.5118388159829239</c:v>
                </c:pt>
                <c:pt idx="38">
                  <c:v>1.2911068991535201E-2</c:v>
                </c:pt>
                <c:pt idx="39">
                  <c:v>0.75075524044536157</c:v>
                </c:pt>
                <c:pt idx="40">
                  <c:v>0.99412162482863631</c:v>
                </c:pt>
                <c:pt idx="41">
                  <c:v>1.445149681842939</c:v>
                </c:pt>
                <c:pt idx="42">
                  <c:v>0.95412550757209402</c:v>
                </c:pt>
                <c:pt idx="43">
                  <c:v>1.7762493369299654</c:v>
                </c:pt>
                <c:pt idx="44">
                  <c:v>0.87604760507792534</c:v>
                </c:pt>
                <c:pt idx="45">
                  <c:v>0.8656947274956065</c:v>
                </c:pt>
                <c:pt idx="46">
                  <c:v>0.9490823371902225</c:v>
                </c:pt>
                <c:pt idx="47">
                  <c:v>0.25489088818625083</c:v>
                </c:pt>
                <c:pt idx="48">
                  <c:v>1.2803621499935673</c:v>
                </c:pt>
                <c:pt idx="49">
                  <c:v>0.90605633909011818</c:v>
                </c:pt>
                <c:pt idx="50">
                  <c:v>-0.51100769164312942</c:v>
                </c:pt>
                <c:pt idx="51">
                  <c:v>0.34575626824836952</c:v>
                </c:pt>
                <c:pt idx="52">
                  <c:v>0.3467290741137577</c:v>
                </c:pt>
                <c:pt idx="53">
                  <c:v>0.29808536648248046</c:v>
                </c:pt>
                <c:pt idx="54">
                  <c:v>-0.657560585936942</c:v>
                </c:pt>
                <c:pt idx="55">
                  <c:v>-6.6511442082874003E-2</c:v>
                </c:pt>
                <c:pt idx="56">
                  <c:v>-0.43799864685157985</c:v>
                </c:pt>
                <c:pt idx="57">
                  <c:v>-9.5787529822960182E-2</c:v>
                </c:pt>
                <c:pt idx="58">
                  <c:v>1.7000541063318983E-2</c:v>
                </c:pt>
                <c:pt idx="59">
                  <c:v>0.27530069192354034</c:v>
                </c:pt>
                <c:pt idx="60">
                  <c:v>-0.16034071575761058</c:v>
                </c:pt>
                <c:pt idx="61">
                  <c:v>0.37622178768278408</c:v>
                </c:pt>
                <c:pt idx="62">
                  <c:v>5.6258810173697202E-2</c:v>
                </c:pt>
                <c:pt idx="63">
                  <c:v>-0.30476713147268392</c:v>
                </c:pt>
                <c:pt idx="64">
                  <c:v>-0.35835916560849551</c:v>
                </c:pt>
                <c:pt idx="65">
                  <c:v>0.49036428213695499</c:v>
                </c:pt>
                <c:pt idx="66">
                  <c:v>-0.67523799223320469</c:v>
                </c:pt>
                <c:pt idx="67">
                  <c:v>0.30413547828219606</c:v>
                </c:pt>
                <c:pt idx="68">
                  <c:v>0.15759936257526999</c:v>
                </c:pt>
                <c:pt idx="69">
                  <c:v>-0.11659205247618892</c:v>
                </c:pt>
                <c:pt idx="70">
                  <c:v>-1.5515044536614759</c:v>
                </c:pt>
                <c:pt idx="71">
                  <c:v>-0.13985008066604074</c:v>
                </c:pt>
                <c:pt idx="72">
                  <c:v>0.20139632981308164</c:v>
                </c:pt>
                <c:pt idx="73">
                  <c:v>-9.0769500457274457E-2</c:v>
                </c:pt>
                <c:pt idx="74">
                  <c:v>-3.8584687369022291E-2</c:v>
                </c:pt>
                <c:pt idx="75">
                  <c:v>-0.13082005160892501</c:v>
                </c:pt>
                <c:pt idx="76">
                  <c:v>-0.17443160040997177</c:v>
                </c:pt>
                <c:pt idx="77">
                  <c:v>-0.61924854164681609</c:v>
                </c:pt>
                <c:pt idx="78">
                  <c:v>-0.58791566865015732</c:v>
                </c:pt>
                <c:pt idx="79">
                  <c:v>0.16433315213258001</c:v>
                </c:pt>
                <c:pt idx="80">
                  <c:v>-0.48965526462991166</c:v>
                </c:pt>
                <c:pt idx="81">
                  <c:v>0.13617779783756864</c:v>
                </c:pt>
                <c:pt idx="82">
                  <c:v>-0.52817555380663606</c:v>
                </c:pt>
                <c:pt idx="83">
                  <c:v>-0.62883239286168013</c:v>
                </c:pt>
                <c:pt idx="84">
                  <c:v>1.1318670211564712</c:v>
                </c:pt>
                <c:pt idx="85">
                  <c:v>0.30693830597556532</c:v>
                </c:pt>
                <c:pt idx="86">
                  <c:v>-0.19727674356691682</c:v>
                </c:pt>
                <c:pt idx="87">
                  <c:v>4.4779392435552925</c:v>
                </c:pt>
                <c:pt idx="88">
                  <c:v>-1.5759884472967309</c:v>
                </c:pt>
                <c:pt idx="89">
                  <c:v>-0.31375862429097856</c:v>
                </c:pt>
                <c:pt idx="90">
                  <c:v>-0.30543285053972019</c:v>
                </c:pt>
                <c:pt idx="91">
                  <c:v>2.4634375292186173</c:v>
                </c:pt>
                <c:pt idx="92">
                  <c:v>-6.313682502304957E-2</c:v>
                </c:pt>
                <c:pt idx="93">
                  <c:v>0.53234356787090842</c:v>
                </c:pt>
                <c:pt idx="94">
                  <c:v>-9.3113438335009888E-2</c:v>
                </c:pt>
                <c:pt idx="95">
                  <c:v>0.15510317137597651</c:v>
                </c:pt>
                <c:pt idx="96">
                  <c:v>-0.53514506358183778</c:v>
                </c:pt>
                <c:pt idx="97">
                  <c:v>-0.74376559634322048</c:v>
                </c:pt>
                <c:pt idx="98">
                  <c:v>-0.13357756066736703</c:v>
                </c:pt>
                <c:pt idx="99">
                  <c:v>-0.14539789967451955</c:v>
                </c:pt>
              </c:numCache>
            </c:numRef>
          </c:yVal>
          <c:smooth val="0"/>
          <c:extLst>
            <c:ext xmlns:c16="http://schemas.microsoft.com/office/drawing/2014/chart" uri="{C3380CC4-5D6E-409C-BE32-E72D297353CC}">
              <c16:uniqueId val="{00000000-5182-471F-A51D-A330571B762F}"/>
            </c:ext>
          </c:extLst>
        </c:ser>
        <c:ser>
          <c:idx val="2"/>
          <c:order val="1"/>
          <c:tx>
            <c:v>Income quartiles</c:v>
          </c:tx>
          <c:spPr>
            <a:ln w="28575">
              <a:noFill/>
            </a:ln>
          </c:spPr>
          <c:marker>
            <c:symbol val="circle"/>
            <c:size val="5"/>
            <c:spPr>
              <a:solidFill>
                <a:schemeClr val="tx1"/>
              </a:solidFill>
              <a:ln>
                <a:solidFill>
                  <a:schemeClr val="tx1"/>
                </a:solidFill>
              </a:ln>
            </c:spPr>
          </c:marker>
          <c:xVal>
            <c:numRef>
              <c:f>'\usuario\Dropbox\Investigación\Consumo\Datos\Datos sobre lácteos\[Gasto en productos lácteos según EPFs - desagregado.xlsx]Gráfico'!$C$133:$C$139</c:f>
              <c:numCache>
                <c:formatCode>General</c:formatCode>
                <c:ptCount val="7"/>
                <c:pt idx="0">
                  <c:v>64.558178411071253</c:v>
                </c:pt>
                <c:pt idx="1">
                  <c:v>88.124777995588531</c:v>
                </c:pt>
                <c:pt idx="2">
                  <c:v>104.40010507133528</c:v>
                </c:pt>
                <c:pt idx="3">
                  <c:v>129.71820000000002</c:v>
                </c:pt>
                <c:pt idx="4">
                  <c:v>124.77420000000002</c:v>
                </c:pt>
                <c:pt idx="5">
                  <c:v>130.4392</c:v>
                </c:pt>
                <c:pt idx="6">
                  <c:v>130.21260000000001</c:v>
                </c:pt>
              </c:numCache>
            </c:numRef>
          </c:xVal>
          <c:yVal>
            <c:numRef>
              <c:f>'\usuario\Dropbox\Investigación\Consumo\Datos\Datos sobre lácteos\[Gasto en productos lácteos según EPFs - desagregado.xlsx]Gráfico'!$D$133:$D$139</c:f>
              <c:numCache>
                <c:formatCode>General</c:formatCode>
                <c:ptCount val="7"/>
                <c:pt idx="0">
                  <c:v>0.76710235526112436</c:v>
                </c:pt>
                <c:pt idx="1">
                  <c:v>0.62523043024043889</c:v>
                </c:pt>
                <c:pt idx="2">
                  <c:v>0.40296194863035517</c:v>
                </c:pt>
                <c:pt idx="3">
                  <c:v>7.0204963754937358E-2</c:v>
                </c:pt>
                <c:pt idx="4">
                  <c:v>1.7672931801285596E-2</c:v>
                </c:pt>
                <c:pt idx="5">
                  <c:v>-0.19894388489113204</c:v>
                </c:pt>
                <c:pt idx="6">
                  <c:v>-0.44779785071102851</c:v>
                </c:pt>
              </c:numCache>
            </c:numRef>
          </c:yVal>
          <c:smooth val="0"/>
          <c:extLst>
            <c:ext xmlns:c16="http://schemas.microsoft.com/office/drawing/2014/chart" uri="{C3380CC4-5D6E-409C-BE32-E72D297353CC}">
              <c16:uniqueId val="{00000001-5182-471F-A51D-A330571B762F}"/>
            </c:ext>
          </c:extLst>
        </c:ser>
        <c:dLbls>
          <c:showLegendKey val="0"/>
          <c:showVal val="0"/>
          <c:showCatName val="0"/>
          <c:showSerName val="0"/>
          <c:showPercent val="0"/>
          <c:showBubbleSize val="0"/>
        </c:dLbls>
        <c:axId val="104598144"/>
        <c:axId val="104633472"/>
      </c:scatterChart>
      <c:valAx>
        <c:axId val="104598144"/>
        <c:scaling>
          <c:orientation val="minMax"/>
        </c:scaling>
        <c:delete val="0"/>
        <c:axPos val="b"/>
        <c:title>
          <c:tx>
            <c:rich>
              <a:bodyPr/>
              <a:lstStyle/>
              <a:p>
                <a:pPr>
                  <a:defRPr b="0"/>
                </a:pPr>
                <a:r>
                  <a:rPr lang="en-US" b="0"/>
                  <a:t>Milk consumption at the start of the period </a:t>
                </a:r>
              </a:p>
              <a:p>
                <a:pPr>
                  <a:defRPr b="0"/>
                </a:pPr>
                <a:r>
                  <a:rPr lang="en-US" b="0"/>
                  <a:t>(kg. per person and year)</a:t>
                </a:r>
              </a:p>
            </c:rich>
          </c:tx>
          <c:overlay val="0"/>
        </c:title>
        <c:numFmt formatCode="0" sourceLinked="0"/>
        <c:majorTickMark val="out"/>
        <c:minorTickMark val="none"/>
        <c:tickLblPos val="low"/>
        <c:crossAx val="104633472"/>
        <c:crosses val="autoZero"/>
        <c:crossBetween val="midCat"/>
      </c:valAx>
      <c:valAx>
        <c:axId val="104633472"/>
        <c:scaling>
          <c:orientation val="minMax"/>
        </c:scaling>
        <c:delete val="0"/>
        <c:axPos val="l"/>
        <c:title>
          <c:tx>
            <c:rich>
              <a:bodyPr rot="-5400000" vert="horz"/>
              <a:lstStyle/>
              <a:p>
                <a:pPr>
                  <a:defRPr b="0"/>
                </a:pPr>
                <a:r>
                  <a:rPr lang="en-US" b="0"/>
                  <a:t>Responsiveness factor</a:t>
                </a:r>
              </a:p>
            </c:rich>
          </c:tx>
          <c:overlay val="0"/>
        </c:title>
        <c:numFmt formatCode="#,##0.0" sourceLinked="0"/>
        <c:majorTickMark val="out"/>
        <c:minorTickMark val="none"/>
        <c:tickLblPos val="nextTo"/>
        <c:crossAx val="104598144"/>
        <c:crosses val="autoZero"/>
        <c:crossBetween val="midCat"/>
      </c:valAx>
    </c:plotArea>
    <c:legend>
      <c:legendPos val="r"/>
      <c:layout>
        <c:manualLayout>
          <c:xMode val="edge"/>
          <c:yMode val="edge"/>
          <c:x val="0.70089032539054885"/>
          <c:y val="0.1586906297729733"/>
          <c:w val="0.24838188976377953"/>
          <c:h val="0.13671091467294086"/>
        </c:manualLayout>
      </c:layout>
      <c:overlay val="0"/>
    </c:legend>
    <c:plotVisOnly val="1"/>
    <c:dispBlanksAs val="gap"/>
    <c:showDLblsOverMax val="0"/>
  </c:chart>
  <c:spPr>
    <a:solidFill>
      <a:schemeClr val="bg1"/>
    </a:solidFill>
    <a:ln>
      <a:noFill/>
    </a:ln>
  </c:spPr>
  <c:txPr>
    <a:bodyPr/>
    <a:lstStyle/>
    <a:p>
      <a:pPr>
        <a:defRPr>
          <a:latin typeface="Arial" panose="020B0604020202020204" pitchFamily="34" charset="0"/>
          <a:cs typeface="Arial" panose="020B0604020202020204" pitchFamily="34" charset="0"/>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76618547681539"/>
          <c:y val="3.9729125288085927E-2"/>
          <c:w val="0.7819140697865028"/>
          <c:h val="0.75905465726590815"/>
        </c:manualLayout>
      </c:layout>
      <c:scatterChart>
        <c:scatterStyle val="lineMarker"/>
        <c:varyColors val="0"/>
        <c:ser>
          <c:idx val="0"/>
          <c:order val="0"/>
          <c:tx>
            <c:v>Aggregate</c:v>
          </c:tx>
          <c:spPr>
            <a:ln w="6350">
              <a:solidFill>
                <a:schemeClr val="tx1"/>
              </a:solidFill>
              <a:prstDash val="sysDot"/>
            </a:ln>
          </c:spPr>
          <c:marker>
            <c:symbol val="circle"/>
            <c:size val="5"/>
            <c:spPr>
              <a:noFill/>
              <a:ln>
                <a:solidFill>
                  <a:schemeClr val="tx1"/>
                </a:solidFill>
              </a:ln>
            </c:spPr>
          </c:marker>
          <c:dLbls>
            <c:dLbl>
              <c:idx val="0"/>
              <c:layout>
                <c:manualLayout>
                  <c:x val="0"/>
                  <c:y val="-1.4446954650213081E-2"/>
                </c:manualLayout>
              </c:layout>
              <c:tx>
                <c:rich>
                  <a:bodyPr/>
                  <a:lstStyle/>
                  <a:p>
                    <a:r>
                      <a:rPr lang="en-US"/>
                      <a:t>1917-33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8E6-4291-A281-AB5FB54A647A}"/>
                </c:ext>
              </c:extLst>
            </c:dLbl>
            <c:dLbl>
              <c:idx val="1"/>
              <c:layout>
                <c:manualLayout>
                  <c:x val="-0.15"/>
                  <c:y val="-7.2234773251065318E-3"/>
                </c:manualLayout>
              </c:layout>
              <c:tx>
                <c:rich>
                  <a:bodyPr/>
                  <a:lstStyle/>
                  <a:p>
                    <a:r>
                      <a:rPr lang="en-US"/>
                      <a:t>1958-64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8E6-4291-A281-AB5FB54A647A}"/>
                </c:ext>
              </c:extLst>
            </c:dLbl>
            <c:dLbl>
              <c:idx val="2"/>
              <c:layout>
                <c:manualLayout>
                  <c:x val="-6.666666666666661E-2"/>
                  <c:y val="-3.2505647962979396E-2"/>
                </c:manualLayout>
              </c:layout>
              <c:tx>
                <c:rich>
                  <a:bodyPr/>
                  <a:lstStyle/>
                  <a:p>
                    <a:r>
                      <a:rPr lang="en-US"/>
                      <a:t>1964-73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8E6-4291-A281-AB5FB54A647A}"/>
                </c:ext>
              </c:extLst>
            </c:dLbl>
            <c:dLbl>
              <c:idx val="3"/>
              <c:tx>
                <c:rich>
                  <a:bodyPr/>
                  <a:lstStyle/>
                  <a:p>
                    <a:r>
                      <a:rPr lang="en-US"/>
                      <a:t>1973-80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8E6-4291-A281-AB5FB54A647A}"/>
                </c:ext>
              </c:extLst>
            </c:dLbl>
            <c:dLbl>
              <c:idx val="4"/>
              <c:tx>
                <c:rich>
                  <a:bodyPr/>
                  <a:lstStyle/>
                  <a:p>
                    <a:r>
                      <a:rPr lang="en-US"/>
                      <a:t>1980-90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8E6-4291-A281-AB5FB54A64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'\usuario\Dropbox\Investigación\Consumo\Datos\Datos sobre lácteos\[Gasto en productos lácteos según EPFs - desagregado.xlsx]Gráfico'!$C$4:$C$8</c:f>
              <c:numCache>
                <c:formatCode>General</c:formatCode>
                <c:ptCount val="5"/>
                <c:pt idx="0">
                  <c:v>31.9</c:v>
                </c:pt>
                <c:pt idx="1">
                  <c:v>80.2</c:v>
                </c:pt>
                <c:pt idx="2">
                  <c:v>81.099999999999994</c:v>
                </c:pt>
                <c:pt idx="3">
                  <c:v>119.4</c:v>
                </c:pt>
                <c:pt idx="4">
                  <c:v>128.9</c:v>
                </c:pt>
              </c:numCache>
            </c:numRef>
          </c:xVal>
          <c:yVal>
            <c:numRef>
              <c:f>'\usuario\Dropbox\Investigación\Consumo\Datos\Datos sobre lácteos\[Gasto en productos lácteos según EPFs - desagregado.xlsx]Gráfico'!$D$4:$D$8</c:f>
              <c:numCache>
                <c:formatCode>General</c:formatCode>
                <c:ptCount val="5"/>
                <c:pt idx="0">
                  <c:v>2.31</c:v>
                </c:pt>
                <c:pt idx="1">
                  <c:v>0.05</c:v>
                </c:pt>
                <c:pt idx="2">
                  <c:v>0.82</c:v>
                </c:pt>
                <c:pt idx="3">
                  <c:v>0.21</c:v>
                </c:pt>
                <c:pt idx="4">
                  <c:v>-0.2</c:v>
                </c:pt>
              </c:numCache>
            </c:numRef>
          </c:yVal>
          <c:smooth val="0"/>
          <c:extLst>
            <c:ext xmlns:c16="http://schemas.microsoft.com/office/drawing/2014/chart" uri="{C3380CC4-5D6E-409C-BE32-E72D297353CC}">
              <c16:uniqueId val="{00000005-88E6-4291-A281-AB5FB54A647A}"/>
            </c:ext>
          </c:extLst>
        </c:ser>
        <c:ser>
          <c:idx val="1"/>
          <c:order val="1"/>
          <c:tx>
            <c:v>Raw</c:v>
          </c:tx>
          <c:spPr>
            <a:ln w="19050">
              <a:solidFill>
                <a:schemeClr val="tx1"/>
              </a:solidFill>
              <a:prstDash val="dash"/>
            </a:ln>
          </c:spPr>
          <c:marker>
            <c:symbol val="circle"/>
            <c:size val="7"/>
            <c:spPr>
              <a:solidFill>
                <a:schemeClr val="tx1"/>
              </a:solidFill>
              <a:ln>
                <a:solidFill>
                  <a:schemeClr val="tx1"/>
                </a:solidFill>
              </a:ln>
            </c:spPr>
          </c:marker>
          <c:dPt>
            <c:idx val="0"/>
            <c:marker>
              <c:symbol val="circle"/>
              <c:size val="5"/>
              <c:spPr>
                <a:noFill/>
                <a:ln>
                  <a:solidFill>
                    <a:schemeClr val="bg1">
                      <a:lumMod val="50000"/>
                      <a:alpha val="0"/>
                    </a:schemeClr>
                  </a:solidFill>
                </a:ln>
              </c:spPr>
            </c:marker>
            <c:bubble3D val="0"/>
            <c:extLst>
              <c:ext xmlns:c16="http://schemas.microsoft.com/office/drawing/2014/chart" uri="{C3380CC4-5D6E-409C-BE32-E72D297353CC}">
                <c16:uniqueId val="{00000006-88E6-4291-A281-AB5FB54A647A}"/>
              </c:ext>
            </c:extLst>
          </c:dPt>
          <c:dPt>
            <c:idx val="1"/>
            <c:marker>
              <c:symbol val="circle"/>
              <c:size val="5"/>
              <c:spPr>
                <a:noFill/>
                <a:ln>
                  <a:solidFill>
                    <a:schemeClr val="bg1">
                      <a:lumMod val="50000"/>
                    </a:schemeClr>
                  </a:solidFill>
                </a:ln>
              </c:spPr>
            </c:marker>
            <c:bubble3D val="0"/>
            <c:extLst>
              <c:ext xmlns:c16="http://schemas.microsoft.com/office/drawing/2014/chart" uri="{C3380CC4-5D6E-409C-BE32-E72D297353CC}">
                <c16:uniqueId val="{00000007-88E6-4291-A281-AB5FB54A647A}"/>
              </c:ext>
            </c:extLst>
          </c:dPt>
          <c:dPt>
            <c:idx val="3"/>
            <c:bubble3D val="0"/>
            <c:spPr>
              <a:ln w="19050">
                <a:solidFill>
                  <a:schemeClr val="tx1"/>
                </a:solidFill>
                <a:prstDash val="dash"/>
                <a:tailEnd type="none"/>
              </a:ln>
            </c:spPr>
            <c:extLst>
              <c:ext xmlns:c16="http://schemas.microsoft.com/office/drawing/2014/chart" uri="{C3380CC4-5D6E-409C-BE32-E72D297353CC}">
                <c16:uniqueId val="{00000009-88E6-4291-A281-AB5FB54A647A}"/>
              </c:ext>
            </c:extLst>
          </c:dPt>
          <c:dLbls>
            <c:dLbl>
              <c:idx val="0"/>
              <c:delete val="1"/>
              <c:extLst>
                <c:ext xmlns:c15="http://schemas.microsoft.com/office/drawing/2012/chart" uri="{CE6537A1-D6FC-4f65-9D91-7224C49458BB}"/>
                <c:ext xmlns:c16="http://schemas.microsoft.com/office/drawing/2014/chart" uri="{C3380CC4-5D6E-409C-BE32-E72D297353CC}">
                  <c16:uniqueId val="{00000006-88E6-4291-A281-AB5FB54A647A}"/>
                </c:ext>
              </c:extLst>
            </c:dLbl>
            <c:dLbl>
              <c:idx val="1"/>
              <c:delete val="1"/>
              <c:extLst>
                <c:ext xmlns:c15="http://schemas.microsoft.com/office/drawing/2012/chart" uri="{CE6537A1-D6FC-4f65-9D91-7224C49458BB}"/>
                <c:ext xmlns:c16="http://schemas.microsoft.com/office/drawing/2014/chart" uri="{C3380CC4-5D6E-409C-BE32-E72D297353CC}">
                  <c16:uniqueId val="{00000007-88E6-4291-A281-AB5FB54A647A}"/>
                </c:ext>
              </c:extLst>
            </c:dLbl>
            <c:dLbl>
              <c:idx val="2"/>
              <c:tx>
                <c:rich>
                  <a:bodyPr/>
                  <a:lstStyle/>
                  <a:p>
                    <a:r>
                      <a:rPr lang="en-US"/>
                      <a:t>1964-80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8E6-4291-A281-AB5FB54A647A}"/>
                </c:ext>
              </c:extLst>
            </c:dLbl>
            <c:dLbl>
              <c:idx val="3"/>
              <c:tx>
                <c:rich>
                  <a:bodyPr/>
                  <a:lstStyle/>
                  <a:p>
                    <a:r>
                      <a:rPr lang="en-US"/>
                      <a:t>1980-90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88E6-4291-A281-AB5FB54A64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('\usuario\Dropbox\Investigación\Consumo\Datos\Datos sobre lácteos\[Gasto en productos lácteos según EPFs - desagregado.xlsx]Gráfico'!$C$18:$C$20,'\usuario\Dropbox\Investigación\Consumo\Datos\Datos sobre lácteos\[Gasto en productos lácteos según EPFs - desagregado.xlsx]Gráfico'!$C$22)</c:f>
              <c:numCache>
                <c:formatCode>General</c:formatCode>
                <c:ptCount val="4"/>
                <c:pt idx="0">
                  <c:v>31.9</c:v>
                </c:pt>
                <c:pt idx="1">
                  <c:v>80.2</c:v>
                </c:pt>
                <c:pt idx="2">
                  <c:v>68.900000000000006</c:v>
                </c:pt>
                <c:pt idx="3">
                  <c:v>50.3</c:v>
                </c:pt>
              </c:numCache>
            </c:numRef>
          </c:xVal>
          <c:yVal>
            <c:numRef>
              <c:f>('\usuario\Dropbox\Investigación\Consumo\Datos\Datos sobre lácteos\[Gasto en productos lácteos según EPFs - desagregado.xlsx]Gráfico'!$D$18:$D$20,'\usuario\Dropbox\Investigación\Consumo\Datos\Datos sobre lácteos\[Gasto en productos lácteos según EPFs - desagregado.xlsx]Gráfico'!$D$22)</c:f>
              <c:numCache>
                <c:formatCode>General</c:formatCode>
                <c:ptCount val="4"/>
                <c:pt idx="0">
                  <c:v>2.31</c:v>
                </c:pt>
                <c:pt idx="1">
                  <c:v>0.05</c:v>
                </c:pt>
                <c:pt idx="2">
                  <c:v>-0.34</c:v>
                </c:pt>
                <c:pt idx="3">
                  <c:v>-1.73</c:v>
                </c:pt>
              </c:numCache>
            </c:numRef>
          </c:yVal>
          <c:smooth val="0"/>
          <c:extLst>
            <c:ext xmlns:c16="http://schemas.microsoft.com/office/drawing/2014/chart" uri="{C3380CC4-5D6E-409C-BE32-E72D297353CC}">
              <c16:uniqueId val="{0000000B-88E6-4291-A281-AB5FB54A647A}"/>
            </c:ext>
          </c:extLst>
        </c:ser>
        <c:ser>
          <c:idx val="2"/>
          <c:order val="2"/>
          <c:tx>
            <c:v>Processed</c:v>
          </c:tx>
          <c:spPr>
            <a:ln w="19050">
              <a:solidFill>
                <a:schemeClr val="bg1">
                  <a:lumMod val="50000"/>
                </a:schemeClr>
              </a:solidFill>
              <a:prstDash val="dash"/>
            </a:ln>
          </c:spPr>
          <c:marker>
            <c:symbol val="diamond"/>
            <c:size val="7"/>
            <c:spPr>
              <a:solidFill>
                <a:schemeClr val="bg1">
                  <a:lumMod val="50000"/>
                </a:schemeClr>
              </a:solidFill>
              <a:ln>
                <a:solidFill>
                  <a:schemeClr val="bg1">
                    <a:lumMod val="50000"/>
                  </a:schemeClr>
                </a:solidFill>
              </a:ln>
            </c:spPr>
          </c:marker>
          <c:dLbls>
            <c:dLbl>
              <c:idx val="0"/>
              <c:layout>
                <c:manualLayout>
                  <c:x val="-8.3895744187755431E-2"/>
                  <c:y val="5.1385656335387761E-2"/>
                </c:manualLayout>
              </c:layout>
              <c:tx>
                <c:rich>
                  <a:bodyPr/>
                  <a:lstStyle/>
                  <a:p>
                    <a:r>
                      <a:rPr lang="en-US"/>
                      <a:t>1964-80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88E6-4291-A281-AB5FB54A647A}"/>
                </c:ext>
              </c:extLst>
            </c:dLbl>
            <c:dLbl>
              <c:idx val="1"/>
              <c:layout>
                <c:manualLayout>
                  <c:x val="-5.5557742782151726E-3"/>
                  <c:y val="9.2591328642054518E-3"/>
                </c:manualLayout>
              </c:layout>
              <c:tx>
                <c:rich>
                  <a:bodyPr/>
                  <a:lstStyle/>
                  <a:p>
                    <a:r>
                      <a:rPr lang="en-US"/>
                      <a:t>1980-90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8E6-4291-A281-AB5FB54A647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('\usuario\Dropbox\Investigación\Consumo\Datos\Datos sobre lácteos\[Gasto en productos lácteos según EPFs - desagregado.xlsx]Gráfico'!$C$21,'\usuario\Dropbox\Investigación\Consumo\Datos\Datos sobre lácteos\[Gasto en productos lácteos según EPFs - desagregado.xlsx]Gráfico'!$C$23)</c:f>
              <c:numCache>
                <c:formatCode>General</c:formatCode>
                <c:ptCount val="2"/>
                <c:pt idx="0">
                  <c:v>12.2</c:v>
                </c:pt>
                <c:pt idx="1">
                  <c:v>78.599999999999994</c:v>
                </c:pt>
              </c:numCache>
            </c:numRef>
          </c:xVal>
          <c:yVal>
            <c:numRef>
              <c:f>('\usuario\Dropbox\Investigación\Consumo\Datos\Datos sobre lácteos\[Gasto en productos lácteos según EPFs - desagregado.xlsx]Gráfico'!$D$21,'\usuario\Dropbox\Investigación\Consumo\Datos\Datos sobre lácteos\[Gasto en productos lácteos según EPFs - desagregado.xlsx]Gráfico'!$D$23)</c:f>
              <c:numCache>
                <c:formatCode>General</c:formatCode>
                <c:ptCount val="2"/>
                <c:pt idx="0">
                  <c:v>2.15</c:v>
                </c:pt>
                <c:pt idx="1">
                  <c:v>0.55000000000000004</c:v>
                </c:pt>
              </c:numCache>
            </c:numRef>
          </c:yVal>
          <c:smooth val="0"/>
          <c:extLst>
            <c:ext xmlns:c16="http://schemas.microsoft.com/office/drawing/2014/chart" uri="{C3380CC4-5D6E-409C-BE32-E72D297353CC}">
              <c16:uniqueId val="{0000000E-88E6-4291-A281-AB5FB54A647A}"/>
            </c:ext>
          </c:extLst>
        </c:ser>
        <c:dLbls>
          <c:showLegendKey val="0"/>
          <c:showVal val="0"/>
          <c:showCatName val="0"/>
          <c:showSerName val="0"/>
          <c:showPercent val="0"/>
          <c:showBubbleSize val="0"/>
        </c:dLbls>
        <c:axId val="39771520"/>
        <c:axId val="39831040"/>
      </c:scatterChart>
      <c:valAx>
        <c:axId val="39771520"/>
        <c:scaling>
          <c:orientation val="minMax"/>
        </c:scaling>
        <c:delete val="0"/>
        <c:axPos val="b"/>
        <c:title>
          <c:tx>
            <c:rich>
              <a:bodyPr/>
              <a:lstStyle/>
              <a:p>
                <a:pPr>
                  <a:defRPr b="0"/>
                </a:pPr>
                <a:r>
                  <a:rPr lang="en-US" b="0"/>
                  <a:t>Consumption level at the start of the period </a:t>
                </a:r>
              </a:p>
              <a:p>
                <a:pPr>
                  <a:defRPr b="0"/>
                </a:pPr>
                <a:r>
                  <a:rPr lang="en-US" b="0"/>
                  <a:t>(kg. per person and year)</a:t>
                </a:r>
              </a:p>
            </c:rich>
          </c:tx>
          <c:layout>
            <c:manualLayout>
              <c:xMode val="edge"/>
              <c:yMode val="edge"/>
              <c:x val="0.25068773155641677"/>
              <c:y val="0.87866742744113513"/>
            </c:manualLayout>
          </c:layout>
          <c:overlay val="0"/>
        </c:title>
        <c:numFmt formatCode="General" sourceLinked="1"/>
        <c:majorTickMark val="out"/>
        <c:minorTickMark val="none"/>
        <c:tickLblPos val="low"/>
        <c:crossAx val="39831040"/>
        <c:crosses val="autoZero"/>
        <c:crossBetween val="midCat"/>
      </c:valAx>
      <c:valAx>
        <c:axId val="39831040"/>
        <c:scaling>
          <c:orientation val="minMax"/>
        </c:scaling>
        <c:delete val="0"/>
        <c:axPos val="l"/>
        <c:title>
          <c:tx>
            <c:rich>
              <a:bodyPr rot="-5400000" vert="horz"/>
              <a:lstStyle/>
              <a:p>
                <a:pPr>
                  <a:defRPr/>
                </a:pPr>
                <a:r>
                  <a:rPr lang="en-US" b="0"/>
                  <a:t>Responsiveness factor</a:t>
                </a:r>
              </a:p>
            </c:rich>
          </c:tx>
          <c:overlay val="0"/>
        </c:title>
        <c:numFmt formatCode="#,##0.0" sourceLinked="0"/>
        <c:majorTickMark val="out"/>
        <c:minorTickMark val="none"/>
        <c:tickLblPos val="nextTo"/>
        <c:crossAx val="39771520"/>
        <c:crossesAt val="0"/>
        <c:crossBetween val="midCat"/>
      </c:valAx>
    </c:plotArea>
    <c:legend>
      <c:legendPos val="r"/>
      <c:layout>
        <c:manualLayout>
          <c:xMode val="edge"/>
          <c:yMode val="edge"/>
          <c:x val="0.70125859895653742"/>
          <c:y val="7.1666279897802013E-2"/>
          <c:w val="0.24333094041636755"/>
          <c:h val="0.18488376458061742"/>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2"/>
          <c:order val="0"/>
          <c:tx>
            <c:v>Raw milk</c:v>
          </c:tx>
          <c:spPr>
            <a:solidFill>
              <a:schemeClr val="tx1"/>
            </a:solidFill>
          </c:spPr>
          <c:invertIfNegative val="0"/>
          <c:cat>
            <c:strRef>
              <c:f>'\usuario\Dropbox\Investigación\Consumo\Datos\Datos sobre lácteos\[Consumo de lácteos según Panel.xls]Clase social'!$F$3:$I$3</c:f>
              <c:strCache>
                <c:ptCount val="4"/>
                <c:pt idx="0">
                  <c:v>Lowest status</c:v>
                </c:pt>
                <c:pt idx="1">
                  <c:v>Second lowest status</c:v>
                </c:pt>
                <c:pt idx="2">
                  <c:v>Second highest status</c:v>
                </c:pt>
                <c:pt idx="3">
                  <c:v>Highest status</c:v>
                </c:pt>
              </c:strCache>
            </c:strRef>
          </c:cat>
          <c:val>
            <c:numRef>
              <c:f>'\usuario\Dropbox\Investigación\Consumo\Datos\Datos sobre lácteos\[Consumo de lácteos según Panel.xls]Clase social'!$F$10:$I$10</c:f>
              <c:numCache>
                <c:formatCode>General</c:formatCode>
                <c:ptCount val="4"/>
                <c:pt idx="0">
                  <c:v>29.167999999999999</c:v>
                </c:pt>
                <c:pt idx="1">
                  <c:v>21.477</c:v>
                </c:pt>
                <c:pt idx="2">
                  <c:v>16.117000000000001</c:v>
                </c:pt>
                <c:pt idx="3">
                  <c:v>8.1820000000000004</c:v>
                </c:pt>
              </c:numCache>
            </c:numRef>
          </c:val>
          <c:extLst>
            <c:ext xmlns:c16="http://schemas.microsoft.com/office/drawing/2014/chart" uri="{C3380CC4-5D6E-409C-BE32-E72D297353CC}">
              <c16:uniqueId val="{00000000-7F5C-4D72-8A88-3E0AD05FF104}"/>
            </c:ext>
          </c:extLst>
        </c:ser>
        <c:ser>
          <c:idx val="0"/>
          <c:order val="1"/>
          <c:tx>
            <c:v>Sterilized and UHT milk</c:v>
          </c:tx>
          <c:spPr>
            <a:solidFill>
              <a:schemeClr val="bg1">
                <a:lumMod val="75000"/>
              </a:schemeClr>
            </a:solidFill>
          </c:spPr>
          <c:invertIfNegative val="0"/>
          <c:cat>
            <c:strRef>
              <c:f>'\usuario\Dropbox\Investigación\Consumo\Datos\Datos sobre lácteos\[Consumo de lácteos según Panel.xls]Clase social'!$F$3:$I$3</c:f>
              <c:strCache>
                <c:ptCount val="4"/>
                <c:pt idx="0">
                  <c:v>Lowest status</c:v>
                </c:pt>
                <c:pt idx="1">
                  <c:v>Second lowest status</c:v>
                </c:pt>
                <c:pt idx="2">
                  <c:v>Second highest status</c:v>
                </c:pt>
                <c:pt idx="3">
                  <c:v>Highest status</c:v>
                </c:pt>
              </c:strCache>
            </c:strRef>
          </c:cat>
          <c:val>
            <c:numRef>
              <c:f>'\usuario\Dropbox\Investigación\Consumo\Datos\Datos sobre lácteos\[Consumo de lácteos según Panel.xls]Clase social'!$F$8:$I$8</c:f>
              <c:numCache>
                <c:formatCode>General</c:formatCode>
                <c:ptCount val="4"/>
                <c:pt idx="0">
                  <c:v>57.987000000000002</c:v>
                </c:pt>
                <c:pt idx="1">
                  <c:v>67.052999999999997</c:v>
                </c:pt>
                <c:pt idx="2">
                  <c:v>70.075000000000003</c:v>
                </c:pt>
                <c:pt idx="3">
                  <c:v>69.701999999999998</c:v>
                </c:pt>
              </c:numCache>
            </c:numRef>
          </c:val>
          <c:extLst>
            <c:ext xmlns:c16="http://schemas.microsoft.com/office/drawing/2014/chart" uri="{C3380CC4-5D6E-409C-BE32-E72D297353CC}">
              <c16:uniqueId val="{00000001-7F5C-4D72-8A88-3E0AD05FF104}"/>
            </c:ext>
          </c:extLst>
        </c:ser>
        <c:ser>
          <c:idx val="1"/>
          <c:order val="2"/>
          <c:tx>
            <c:v>Pasteurized milk</c:v>
          </c:tx>
          <c:spPr>
            <a:solidFill>
              <a:schemeClr val="tx1">
                <a:lumMod val="50000"/>
                <a:lumOff val="50000"/>
              </a:schemeClr>
            </a:solidFill>
            <a:ln w="63500"/>
          </c:spPr>
          <c:invertIfNegative val="0"/>
          <c:cat>
            <c:strRef>
              <c:f>'\usuario\Dropbox\Investigación\Consumo\Datos\Datos sobre lácteos\[Consumo de lácteos según Panel.xls]Clase social'!$F$3:$I$3</c:f>
              <c:strCache>
                <c:ptCount val="4"/>
                <c:pt idx="0">
                  <c:v>Lowest status</c:v>
                </c:pt>
                <c:pt idx="1">
                  <c:v>Second lowest status</c:v>
                </c:pt>
                <c:pt idx="2">
                  <c:v>Second highest status</c:v>
                </c:pt>
                <c:pt idx="3">
                  <c:v>Highest status</c:v>
                </c:pt>
              </c:strCache>
            </c:strRef>
          </c:cat>
          <c:val>
            <c:numRef>
              <c:f>'\usuario\Dropbox\Investigación\Consumo\Datos\Datos sobre lácteos\[Consumo de lácteos según Panel.xls]Clase social'!$F$9:$I$9</c:f>
              <c:numCache>
                <c:formatCode>General</c:formatCode>
                <c:ptCount val="4"/>
                <c:pt idx="0">
                  <c:v>14.601000000000001</c:v>
                </c:pt>
                <c:pt idx="1">
                  <c:v>15.003</c:v>
                </c:pt>
                <c:pt idx="2">
                  <c:v>9.5690000000000008</c:v>
                </c:pt>
                <c:pt idx="3">
                  <c:v>16.225000000000001</c:v>
                </c:pt>
              </c:numCache>
            </c:numRef>
          </c:val>
          <c:extLst>
            <c:ext xmlns:c16="http://schemas.microsoft.com/office/drawing/2014/chart" uri="{C3380CC4-5D6E-409C-BE32-E72D297353CC}">
              <c16:uniqueId val="{00000002-7F5C-4D72-8A88-3E0AD05FF104}"/>
            </c:ext>
          </c:extLst>
        </c:ser>
        <c:dLbls>
          <c:showLegendKey val="0"/>
          <c:showVal val="0"/>
          <c:showCatName val="0"/>
          <c:showSerName val="0"/>
          <c:showPercent val="0"/>
          <c:showBubbleSize val="0"/>
        </c:dLbls>
        <c:gapWidth val="150"/>
        <c:overlap val="100"/>
        <c:axId val="112218496"/>
        <c:axId val="112220032"/>
      </c:barChart>
      <c:catAx>
        <c:axId val="11221849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s-ES"/>
          </a:p>
        </c:txPr>
        <c:crossAx val="112220032"/>
        <c:crosses val="autoZero"/>
        <c:auto val="1"/>
        <c:lblAlgn val="ctr"/>
        <c:lblOffset val="100"/>
        <c:noMultiLvlLbl val="0"/>
      </c:catAx>
      <c:valAx>
        <c:axId val="112220032"/>
        <c:scaling>
          <c:orientation val="minMax"/>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s-ES"/>
          </a:p>
        </c:txPr>
        <c:crossAx val="112218496"/>
        <c:crosses val="autoZero"/>
        <c:crossBetween val="between"/>
      </c:valAx>
    </c:plotArea>
    <c:legend>
      <c:legendPos val="r"/>
      <c:layout>
        <c:manualLayout>
          <c:xMode val="edge"/>
          <c:yMode val="edge"/>
          <c:x val="0.64486321315098771"/>
          <c:y val="0.42936432091287735"/>
          <c:w val="0.33829468158585441"/>
          <c:h val="0.16786205143160524"/>
        </c:manualLayout>
      </c:layout>
      <c:overlay val="0"/>
      <c:txPr>
        <a:bodyPr/>
        <a:lstStyle/>
        <a:p>
          <a:pPr>
            <a:defRPr sz="1000" b="0" i="0" u="none" strike="noStrike" baseline="0">
              <a:solidFill>
                <a:srgbClr val="000000"/>
              </a:solidFill>
              <a:latin typeface="Arial"/>
              <a:ea typeface="Arial"/>
              <a:cs typeface="Arial"/>
            </a:defRPr>
          </a:pPr>
          <a:endParaRPr lang="es-ES"/>
        </a:p>
      </c:txPr>
    </c:legend>
    <c:plotVisOnly val="1"/>
    <c:dispBlanksAs val="gap"/>
    <c:showDLblsOverMax val="0"/>
  </c:chart>
  <c:spPr>
    <a:ln>
      <a:noFill/>
    </a:ln>
  </c:spPr>
  <c:txPr>
    <a:bodyPr/>
    <a:lstStyle/>
    <a:p>
      <a:pPr>
        <a:defRPr sz="1000" b="0" i="0" u="none" strike="noStrike" baseline="0">
          <a:solidFill>
            <a:srgbClr val="000000"/>
          </a:solidFill>
          <a:latin typeface="Arial"/>
          <a:ea typeface="Arial"/>
          <a:cs typeface="Arial"/>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1ADF06B-F4AC-41A5-A2A9-8E4CDBC4755C}">
  <ds:schemaRefs>
    <ds:schemaRef ds:uri="http://schemas.openxmlformats.org/officeDocument/2006/bibliography"/>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Template>
  <TotalTime>5</TotalTime>
  <Pages>52</Pages>
  <Words>11521</Words>
  <Characters>63366</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collantf</dc:creator>
  <cp:lastModifiedBy>FERNANDO COLLANTES GUTIERREZ</cp:lastModifiedBy>
  <cp:revision>23</cp:revision>
  <dcterms:created xsi:type="dcterms:W3CDTF">2023-12-22T06:18:00Z</dcterms:created>
  <dcterms:modified xsi:type="dcterms:W3CDTF">2024-01-17T06:17:00Z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0x01010080645089DC4E114092637B798605EEF8</vt:lpwstr>
  </property>
</Properties>
</file>